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E705A" w14:textId="77777777" w:rsidR="004E12B7" w:rsidRPr="00ED1B9D" w:rsidRDefault="00CE562C" w:rsidP="004E12B7">
      <w:pPr>
        <w:pBdr>
          <w:bottom w:val="single" w:sz="4" w:space="1" w:color="auto"/>
        </w:pBdr>
        <w:jc w:val="both"/>
        <w:rPr>
          <w:b/>
          <w:sz w:val="28"/>
          <w:szCs w:val="28"/>
        </w:rPr>
      </w:pPr>
      <w:r w:rsidRPr="00ED1B9D">
        <w:rPr>
          <w:b/>
          <w:sz w:val="28"/>
          <w:szCs w:val="28"/>
        </w:rPr>
        <w:t>Review of Treasury Management 2017/18</w:t>
      </w:r>
      <w:bookmarkStart w:id="0" w:name="_GoBack"/>
      <w:bookmarkEnd w:id="0"/>
    </w:p>
    <w:p w14:paraId="0CBF9BE6" w14:textId="77777777" w:rsidR="004E12B7" w:rsidRDefault="009B446A" w:rsidP="004E12B7">
      <w:pPr>
        <w:jc w:val="both"/>
        <w:rPr>
          <w:szCs w:val="24"/>
        </w:rPr>
      </w:pPr>
    </w:p>
    <w:p w14:paraId="79DF828B" w14:textId="2B7DD081" w:rsidR="00F91C94" w:rsidRPr="00247061" w:rsidRDefault="00F91C94" w:rsidP="004E12B7">
      <w:pPr>
        <w:jc w:val="both"/>
        <w:rPr>
          <w:b/>
          <w:szCs w:val="24"/>
        </w:rPr>
      </w:pPr>
      <w:r w:rsidRPr="00247061">
        <w:rPr>
          <w:b/>
          <w:szCs w:val="24"/>
        </w:rPr>
        <w:t>Introduction</w:t>
      </w:r>
    </w:p>
    <w:p w14:paraId="0EA0021D" w14:textId="77777777" w:rsidR="00F91C94" w:rsidRPr="00B245E9" w:rsidRDefault="00F91C94" w:rsidP="004E12B7">
      <w:pPr>
        <w:jc w:val="both"/>
        <w:rPr>
          <w:szCs w:val="24"/>
        </w:rPr>
      </w:pPr>
    </w:p>
    <w:p w14:paraId="2DCC83C6" w14:textId="33D4004C" w:rsidR="00CB5957" w:rsidRPr="009B2A1D" w:rsidRDefault="00CE562C" w:rsidP="00CB5957">
      <w:pPr>
        <w:jc w:val="both"/>
        <w:rPr>
          <w:sz w:val="96"/>
          <w:szCs w:val="96"/>
        </w:rPr>
      </w:pPr>
      <w:r w:rsidRPr="00B245E9">
        <w:rPr>
          <w:szCs w:val="24"/>
        </w:rPr>
        <w:t xml:space="preserve">The </w:t>
      </w:r>
      <w:r>
        <w:rPr>
          <w:szCs w:val="24"/>
        </w:rPr>
        <w:t>c</w:t>
      </w:r>
      <w:r w:rsidRPr="00B245E9">
        <w:rPr>
          <w:szCs w:val="24"/>
        </w:rPr>
        <w:t xml:space="preserve">ounty </w:t>
      </w:r>
      <w:r>
        <w:rPr>
          <w:szCs w:val="24"/>
        </w:rPr>
        <w:t>c</w:t>
      </w:r>
      <w:r w:rsidRPr="00B245E9">
        <w:rPr>
          <w:szCs w:val="24"/>
        </w:rPr>
        <w:t xml:space="preserve">ouncil’s </w:t>
      </w:r>
      <w:r>
        <w:rPr>
          <w:szCs w:val="24"/>
        </w:rPr>
        <w:t>t</w:t>
      </w:r>
      <w:r w:rsidRPr="00B245E9">
        <w:rPr>
          <w:szCs w:val="24"/>
        </w:rPr>
        <w:t xml:space="preserve">reasury </w:t>
      </w:r>
      <w:r>
        <w:rPr>
          <w:szCs w:val="24"/>
        </w:rPr>
        <w:t>m</w:t>
      </w:r>
      <w:r w:rsidRPr="00B245E9">
        <w:rPr>
          <w:szCs w:val="24"/>
        </w:rPr>
        <w:t xml:space="preserve">anagement activity is underpinned by CIPFA’s Code of Practice on Treasury Management (“the Code”), which recommends that </w:t>
      </w:r>
      <w:r>
        <w:rPr>
          <w:szCs w:val="24"/>
        </w:rPr>
        <w:t xml:space="preserve">committee </w:t>
      </w:r>
      <w:r w:rsidRPr="00B245E9">
        <w:rPr>
          <w:szCs w:val="24"/>
        </w:rPr>
        <w:t xml:space="preserve">members </w:t>
      </w:r>
      <w:r w:rsidR="007C09ED">
        <w:rPr>
          <w:szCs w:val="24"/>
        </w:rPr>
        <w:t>review</w:t>
      </w:r>
      <w:r w:rsidRPr="007357E3">
        <w:rPr>
          <w:szCs w:val="24"/>
        </w:rPr>
        <w:t xml:space="preserve"> a treasury management report after the end of each financial year.</w:t>
      </w:r>
      <w:r>
        <w:rPr>
          <w:szCs w:val="24"/>
        </w:rPr>
        <w:t xml:space="preserve"> </w:t>
      </w:r>
    </w:p>
    <w:p w14:paraId="19E805C5" w14:textId="77777777" w:rsidR="00A02416" w:rsidRPr="00693AE3" w:rsidRDefault="00CE562C" w:rsidP="00A02416">
      <w:pPr>
        <w:jc w:val="both"/>
        <w:rPr>
          <w:szCs w:val="24"/>
        </w:rPr>
      </w:pPr>
      <w:r w:rsidRPr="00693AE3">
        <w:rPr>
          <w:szCs w:val="24"/>
        </w:rPr>
        <w:t xml:space="preserve"> </w:t>
      </w:r>
    </w:p>
    <w:p w14:paraId="75320AF0" w14:textId="77777777" w:rsidR="004E12B7" w:rsidRPr="00247061" w:rsidRDefault="00CE562C" w:rsidP="004E12B7">
      <w:pPr>
        <w:jc w:val="both"/>
        <w:rPr>
          <w:b/>
          <w:szCs w:val="24"/>
        </w:rPr>
      </w:pPr>
      <w:r w:rsidRPr="00247061">
        <w:rPr>
          <w:b/>
          <w:szCs w:val="24"/>
        </w:rPr>
        <w:t>Economic Summary 2017/18</w:t>
      </w:r>
    </w:p>
    <w:p w14:paraId="1BDA981E" w14:textId="77777777" w:rsidR="004E12B7" w:rsidRPr="00B06B0C" w:rsidRDefault="009B446A" w:rsidP="004E12B7">
      <w:pPr>
        <w:jc w:val="both"/>
        <w:rPr>
          <w:b/>
          <w:szCs w:val="24"/>
          <w:highlight w:val="yellow"/>
        </w:rPr>
      </w:pPr>
    </w:p>
    <w:p w14:paraId="2C0A855A" w14:textId="5B3DFF34" w:rsidR="004E12B7" w:rsidRPr="00CB47FA" w:rsidRDefault="00CE562C" w:rsidP="004E12B7">
      <w:pPr>
        <w:jc w:val="both"/>
        <w:rPr>
          <w:szCs w:val="24"/>
        </w:rPr>
      </w:pPr>
      <w:r w:rsidRPr="00CB47FA">
        <w:rPr>
          <w:szCs w:val="24"/>
        </w:rPr>
        <w:t xml:space="preserve">Treasury </w:t>
      </w:r>
      <w:r>
        <w:rPr>
          <w:szCs w:val="24"/>
        </w:rPr>
        <w:t>m</w:t>
      </w:r>
      <w:r w:rsidRPr="00CB47FA">
        <w:rPr>
          <w:szCs w:val="24"/>
        </w:rPr>
        <w:t>anagement activity is influenced by the actual and forecast economic position. During 2017/18 the UK economy showed signs of slowing economic growth with latest estimates showing GDP grew by 1.</w:t>
      </w:r>
      <w:r>
        <w:rPr>
          <w:szCs w:val="24"/>
        </w:rPr>
        <w:t>7</w:t>
      </w:r>
      <w:r w:rsidRPr="00CB47FA">
        <w:rPr>
          <w:szCs w:val="24"/>
        </w:rPr>
        <w:t>% in</w:t>
      </w:r>
      <w:r w:rsidR="00ED1B9D">
        <w:rPr>
          <w:szCs w:val="24"/>
        </w:rPr>
        <w:t xml:space="preserve"> the</w:t>
      </w:r>
      <w:r w:rsidRPr="00CB47FA">
        <w:rPr>
          <w:szCs w:val="24"/>
        </w:rPr>
        <w:t xml:space="preserve"> calendar </w:t>
      </w:r>
      <w:r>
        <w:rPr>
          <w:szCs w:val="24"/>
        </w:rPr>
        <w:t xml:space="preserve">year </w:t>
      </w:r>
      <w:r w:rsidRPr="00CB47FA">
        <w:rPr>
          <w:szCs w:val="24"/>
        </w:rPr>
        <w:t>2017,</w:t>
      </w:r>
      <w:r w:rsidR="008F6F02">
        <w:rPr>
          <w:szCs w:val="24"/>
        </w:rPr>
        <w:t xml:space="preserve"> </w:t>
      </w:r>
      <w:r>
        <w:rPr>
          <w:szCs w:val="24"/>
        </w:rPr>
        <w:t>with growth for 2016 and 2015 being 1.8% and 2.3% respectively.</w:t>
      </w:r>
      <w:r w:rsidRPr="00CB47FA">
        <w:rPr>
          <w:szCs w:val="24"/>
        </w:rPr>
        <w:t xml:space="preserve"> </w:t>
      </w:r>
      <w:r w:rsidR="00ED1B9D">
        <w:rPr>
          <w:szCs w:val="24"/>
        </w:rPr>
        <w:t>T</w:t>
      </w:r>
      <w:r w:rsidRPr="00CB47FA">
        <w:rPr>
          <w:szCs w:val="24"/>
        </w:rPr>
        <w:t xml:space="preserve">his was a far better outcome than the majority of forecasts following the EU </w:t>
      </w:r>
      <w:r>
        <w:rPr>
          <w:szCs w:val="24"/>
        </w:rPr>
        <w:t>r</w:t>
      </w:r>
      <w:r w:rsidRPr="00CB47FA">
        <w:rPr>
          <w:szCs w:val="24"/>
        </w:rPr>
        <w:t>eferendum in June 2016</w:t>
      </w:r>
      <w:r w:rsidR="00ED1B9D">
        <w:rPr>
          <w:szCs w:val="24"/>
        </w:rPr>
        <w:t xml:space="preserve"> and</w:t>
      </w:r>
      <w:r w:rsidRPr="00CB47FA">
        <w:rPr>
          <w:szCs w:val="24"/>
        </w:rPr>
        <w:t xml:space="preserve"> reflected the impact of the international growth momentum generated by the increasingly buoyant US economy and the re-emergence of the Eurozone economies. </w:t>
      </w:r>
    </w:p>
    <w:p w14:paraId="2AAA87FE" w14:textId="77777777" w:rsidR="004E12B7" w:rsidRPr="00CB47FA" w:rsidRDefault="009B446A" w:rsidP="004E12B7">
      <w:pPr>
        <w:jc w:val="both"/>
        <w:rPr>
          <w:szCs w:val="24"/>
        </w:rPr>
      </w:pPr>
    </w:p>
    <w:p w14:paraId="6B2FDAE3" w14:textId="3E91376D" w:rsidR="004E12B7" w:rsidRPr="00CB47FA" w:rsidRDefault="00CE562C" w:rsidP="004E12B7">
      <w:pPr>
        <w:jc w:val="both"/>
        <w:rPr>
          <w:szCs w:val="24"/>
        </w:rPr>
      </w:pPr>
      <w:r w:rsidRPr="00CB47FA">
        <w:rPr>
          <w:szCs w:val="24"/>
        </w:rPr>
        <w:t xml:space="preserve">The year saw an increase in inflation with the Consumer Prices Index (CPI) rising to 3.1% in November partly due to the impact of the falling exchange rate before </w:t>
      </w:r>
      <w:r>
        <w:rPr>
          <w:szCs w:val="24"/>
        </w:rPr>
        <w:t>returning</w:t>
      </w:r>
      <w:r w:rsidRPr="00CB47FA">
        <w:rPr>
          <w:szCs w:val="24"/>
        </w:rPr>
        <w:t xml:space="preserve"> back to 2.7% in February 2018.</w:t>
      </w:r>
      <w:r>
        <w:rPr>
          <w:szCs w:val="24"/>
        </w:rPr>
        <w:t>This is above the Bank of England's target which has been set by the Government at 2%.</w:t>
      </w:r>
      <w:r w:rsidRPr="00CB47FA">
        <w:rPr>
          <w:szCs w:val="24"/>
        </w:rPr>
        <w:t xml:space="preserve"> Data on the unemployment rate was positive with the rate falling to 4.3% in January. However there still remained concerns over the strength of the economy. Average real earnings growth, i.e. after inflation, turned</w:t>
      </w:r>
      <w:r w:rsidR="007C09ED">
        <w:rPr>
          <w:szCs w:val="24"/>
        </w:rPr>
        <w:t xml:space="preserve"> </w:t>
      </w:r>
      <w:r w:rsidRPr="00CB47FA">
        <w:rPr>
          <w:szCs w:val="24"/>
        </w:rPr>
        <w:t>negative before slowly recovering which indicate</w:t>
      </w:r>
      <w:r>
        <w:rPr>
          <w:szCs w:val="24"/>
        </w:rPr>
        <w:t>d</w:t>
      </w:r>
      <w:r w:rsidRPr="00CB47FA">
        <w:rPr>
          <w:szCs w:val="24"/>
        </w:rPr>
        <w:t xml:space="preserve"> a potential weakness in consumer spending</w:t>
      </w:r>
      <w:r>
        <w:rPr>
          <w:szCs w:val="24"/>
        </w:rPr>
        <w:t>,</w:t>
      </w:r>
      <w:r w:rsidRPr="00CB47FA">
        <w:rPr>
          <w:szCs w:val="24"/>
        </w:rPr>
        <w:t xml:space="preserve"> an important source of economic growth. </w:t>
      </w:r>
      <w:r>
        <w:rPr>
          <w:szCs w:val="24"/>
        </w:rPr>
        <w:t>T</w:t>
      </w:r>
      <w:r w:rsidRPr="00CB47FA">
        <w:rPr>
          <w:szCs w:val="24"/>
        </w:rPr>
        <w:t xml:space="preserve">here </w:t>
      </w:r>
      <w:r>
        <w:rPr>
          <w:szCs w:val="24"/>
        </w:rPr>
        <w:t>were also signs</w:t>
      </w:r>
      <w:r w:rsidRPr="00CB47FA">
        <w:rPr>
          <w:szCs w:val="24"/>
        </w:rPr>
        <w:t xml:space="preserve"> </w:t>
      </w:r>
      <w:r>
        <w:rPr>
          <w:szCs w:val="24"/>
        </w:rPr>
        <w:t>of</w:t>
      </w:r>
      <w:r w:rsidRPr="00CB47FA">
        <w:rPr>
          <w:szCs w:val="24"/>
        </w:rPr>
        <w:t xml:space="preserve"> weakness in UK business investment which was not helped by political uncertainty following the </w:t>
      </w:r>
      <w:r>
        <w:rPr>
          <w:szCs w:val="24"/>
        </w:rPr>
        <w:t>g</w:t>
      </w:r>
      <w:r w:rsidRPr="00CB47FA">
        <w:rPr>
          <w:szCs w:val="24"/>
        </w:rPr>
        <w:t xml:space="preserve">eneral </w:t>
      </w:r>
      <w:r>
        <w:rPr>
          <w:szCs w:val="24"/>
        </w:rPr>
        <w:t>e</w:t>
      </w:r>
      <w:r w:rsidRPr="00CB47FA">
        <w:rPr>
          <w:szCs w:val="24"/>
        </w:rPr>
        <w:t>lection in June</w:t>
      </w:r>
      <w:r>
        <w:rPr>
          <w:szCs w:val="24"/>
        </w:rPr>
        <w:t xml:space="preserve"> 2017</w:t>
      </w:r>
      <w:r w:rsidRPr="00CB47FA">
        <w:rPr>
          <w:szCs w:val="24"/>
        </w:rPr>
        <w:t xml:space="preserve"> and by the lack of clarity on Brexit. Although the UK and the EU reached an agreement in March 2018 on a transition which will </w:t>
      </w:r>
      <w:r>
        <w:rPr>
          <w:szCs w:val="24"/>
        </w:rPr>
        <w:t xml:space="preserve">run to the end of </w:t>
      </w:r>
      <w:r w:rsidRPr="00CB47FA">
        <w:rPr>
          <w:szCs w:val="24"/>
        </w:rPr>
        <w:t>2020</w:t>
      </w:r>
      <w:r>
        <w:rPr>
          <w:szCs w:val="24"/>
        </w:rPr>
        <w:t>,</w:t>
      </w:r>
      <w:r w:rsidRPr="00CB47FA">
        <w:rPr>
          <w:szCs w:val="24"/>
        </w:rPr>
        <w:t xml:space="preserve"> there is still significant uncertainty over the long term trade arrangements.</w:t>
      </w:r>
    </w:p>
    <w:p w14:paraId="25ED1879" w14:textId="77777777" w:rsidR="004E12B7" w:rsidRPr="00CB47FA" w:rsidRDefault="009B446A" w:rsidP="004E12B7">
      <w:pPr>
        <w:jc w:val="both"/>
        <w:rPr>
          <w:szCs w:val="24"/>
        </w:rPr>
      </w:pPr>
    </w:p>
    <w:p w14:paraId="13D0A3EA" w14:textId="77777777" w:rsidR="004E12B7" w:rsidRPr="00CB47FA" w:rsidRDefault="00CE562C" w:rsidP="004E12B7">
      <w:pPr>
        <w:jc w:val="both"/>
        <w:rPr>
          <w:szCs w:val="24"/>
        </w:rPr>
      </w:pPr>
      <w:r w:rsidRPr="00CB47FA">
        <w:rPr>
          <w:szCs w:val="24"/>
        </w:rPr>
        <w:t xml:space="preserve">With concerns over inflation being above its target </w:t>
      </w:r>
      <w:r>
        <w:rPr>
          <w:szCs w:val="24"/>
        </w:rPr>
        <w:t>t</w:t>
      </w:r>
      <w:r w:rsidRPr="00CB47FA">
        <w:rPr>
          <w:szCs w:val="24"/>
        </w:rPr>
        <w:t xml:space="preserve">he Bank of England’s Monetary Policy Committee (MPC) increased the </w:t>
      </w:r>
      <w:r>
        <w:rPr>
          <w:szCs w:val="24"/>
        </w:rPr>
        <w:t>b</w:t>
      </w:r>
      <w:r w:rsidRPr="00CB47FA">
        <w:rPr>
          <w:szCs w:val="24"/>
        </w:rPr>
        <w:t xml:space="preserve">ank </w:t>
      </w:r>
      <w:r>
        <w:rPr>
          <w:szCs w:val="24"/>
        </w:rPr>
        <w:t>r</w:t>
      </w:r>
      <w:r w:rsidRPr="00CB47FA">
        <w:rPr>
          <w:szCs w:val="24"/>
        </w:rPr>
        <w:t xml:space="preserve">ate by 0.25% in November 2017. This was the first rate </w:t>
      </w:r>
      <w:r>
        <w:rPr>
          <w:szCs w:val="24"/>
        </w:rPr>
        <w:t>increase</w:t>
      </w:r>
      <w:r w:rsidRPr="00CB47FA">
        <w:rPr>
          <w:szCs w:val="24"/>
        </w:rPr>
        <w:t xml:space="preserve"> in ten years, although in essence the MPC </w:t>
      </w:r>
      <w:r>
        <w:rPr>
          <w:szCs w:val="24"/>
        </w:rPr>
        <w:t xml:space="preserve">only </w:t>
      </w:r>
      <w:r w:rsidRPr="00CB47FA">
        <w:rPr>
          <w:szCs w:val="24"/>
        </w:rPr>
        <w:t xml:space="preserve">reversed its August 2016 cut following the referendum result. The February Inflation Report indicated the MPC was keen to return inflation to the 2% target over a more conventional (18-24 months) horizon and indicated there would be ‘gradual’ and ‘limited’ increases in rates. </w:t>
      </w:r>
    </w:p>
    <w:p w14:paraId="462D0633" w14:textId="77777777" w:rsidR="004E12B7" w:rsidRPr="00CB47FA" w:rsidRDefault="009B446A" w:rsidP="004E12B7">
      <w:pPr>
        <w:jc w:val="both"/>
        <w:rPr>
          <w:szCs w:val="24"/>
        </w:rPr>
      </w:pPr>
    </w:p>
    <w:p w14:paraId="4853A33A" w14:textId="24E8B71D" w:rsidR="004E12B7" w:rsidRPr="00B06B0C" w:rsidRDefault="00CE562C" w:rsidP="004E12B7">
      <w:pPr>
        <w:jc w:val="both"/>
        <w:rPr>
          <w:szCs w:val="24"/>
          <w:highlight w:val="yellow"/>
        </w:rPr>
      </w:pPr>
      <w:r w:rsidRPr="00CB47FA">
        <w:rPr>
          <w:szCs w:val="24"/>
        </w:rPr>
        <w:t xml:space="preserve">However, </w:t>
      </w:r>
      <w:r>
        <w:rPr>
          <w:szCs w:val="24"/>
        </w:rPr>
        <w:t xml:space="preserve">the reduction in inflation and the timing of increases in interest rates are not certain as changes in the economy may </w:t>
      </w:r>
      <w:r w:rsidRPr="00CB47FA">
        <w:rPr>
          <w:szCs w:val="24"/>
        </w:rPr>
        <w:t>impact on the policy.</w:t>
      </w:r>
      <w:r>
        <w:rPr>
          <w:szCs w:val="24"/>
        </w:rPr>
        <w:t xml:space="preserve"> For example,</w:t>
      </w:r>
      <w:r w:rsidRPr="00CB47FA">
        <w:rPr>
          <w:szCs w:val="24"/>
        </w:rPr>
        <w:t xml:space="preserve"> </w:t>
      </w:r>
      <w:r>
        <w:rPr>
          <w:szCs w:val="24"/>
        </w:rPr>
        <w:t>t</w:t>
      </w:r>
      <w:r w:rsidRPr="00CB47FA">
        <w:rPr>
          <w:szCs w:val="24"/>
        </w:rPr>
        <w:t xml:space="preserve">he imposition of tariffs on a broadening range of goods initiated by the US, which has led to retaliation by China, could escalate into a deep-rooted trade war having broader economic consequences including inflation rising rapidly, warranting more interest rate </w:t>
      </w:r>
      <w:r>
        <w:rPr>
          <w:szCs w:val="24"/>
        </w:rPr>
        <w:t>increases</w:t>
      </w:r>
      <w:r w:rsidRPr="00CB47FA">
        <w:rPr>
          <w:szCs w:val="24"/>
        </w:rPr>
        <w:t xml:space="preserve">.  </w:t>
      </w:r>
    </w:p>
    <w:p w14:paraId="4BA9B399" w14:textId="77777777" w:rsidR="004E12B7" w:rsidRDefault="009B446A" w:rsidP="004E12B7">
      <w:pPr>
        <w:jc w:val="both"/>
        <w:rPr>
          <w:szCs w:val="24"/>
          <w:highlight w:val="yellow"/>
        </w:rPr>
      </w:pPr>
    </w:p>
    <w:p w14:paraId="0E43F17A" w14:textId="77777777" w:rsidR="00ED1B9D" w:rsidRDefault="00ED1B9D" w:rsidP="004E12B7">
      <w:pPr>
        <w:jc w:val="both"/>
        <w:rPr>
          <w:szCs w:val="24"/>
          <w:highlight w:val="yellow"/>
        </w:rPr>
      </w:pPr>
    </w:p>
    <w:p w14:paraId="5F93869F" w14:textId="77777777" w:rsidR="00ED1B9D" w:rsidRDefault="00ED1B9D" w:rsidP="004E12B7">
      <w:pPr>
        <w:jc w:val="both"/>
        <w:rPr>
          <w:szCs w:val="24"/>
          <w:highlight w:val="yellow"/>
        </w:rPr>
      </w:pPr>
    </w:p>
    <w:p w14:paraId="5028158F" w14:textId="77777777" w:rsidR="00ED1B9D" w:rsidRDefault="00ED1B9D" w:rsidP="004E12B7">
      <w:pPr>
        <w:jc w:val="both"/>
        <w:rPr>
          <w:szCs w:val="24"/>
          <w:highlight w:val="yellow"/>
        </w:rPr>
      </w:pPr>
    </w:p>
    <w:p w14:paraId="485BD204" w14:textId="77777777" w:rsidR="004E12B7" w:rsidRPr="004525D1" w:rsidRDefault="00CE562C" w:rsidP="004E12B7">
      <w:pPr>
        <w:jc w:val="both"/>
        <w:rPr>
          <w:i/>
          <w:szCs w:val="24"/>
        </w:rPr>
      </w:pPr>
      <w:r w:rsidRPr="004525D1">
        <w:rPr>
          <w:i/>
          <w:szCs w:val="24"/>
        </w:rPr>
        <w:lastRenderedPageBreak/>
        <w:t>Interest Rate Environment</w:t>
      </w:r>
    </w:p>
    <w:p w14:paraId="0594D0B4" w14:textId="77777777" w:rsidR="004E12B7" w:rsidRPr="00CB47FA" w:rsidRDefault="009B446A" w:rsidP="004E12B7">
      <w:pPr>
        <w:jc w:val="both"/>
        <w:rPr>
          <w:szCs w:val="24"/>
        </w:rPr>
      </w:pPr>
    </w:p>
    <w:p w14:paraId="3917366C" w14:textId="77777777" w:rsidR="004E12B7" w:rsidRPr="00B06B0C" w:rsidRDefault="00CE562C" w:rsidP="004E12B7">
      <w:pPr>
        <w:jc w:val="both"/>
        <w:rPr>
          <w:szCs w:val="24"/>
          <w:highlight w:val="yellow"/>
        </w:rPr>
      </w:pPr>
      <w:r w:rsidRPr="00CB47FA">
        <w:rPr>
          <w:szCs w:val="24"/>
        </w:rPr>
        <w:t>Short term interest rates continue to be at historically very low levels. 2017/18 saw the first increase in interest rates for a decade when in November the base rate was increased to 0.5</w:t>
      </w:r>
      <w:r>
        <w:rPr>
          <w:szCs w:val="24"/>
        </w:rPr>
        <w:t>0</w:t>
      </w:r>
      <w:r w:rsidRPr="00CB47FA">
        <w:rPr>
          <w:szCs w:val="24"/>
        </w:rPr>
        <w:t>% from 0.25%.  The expectation during the year was that interest rates would remain low for the rest of the financial year and beyond. It is anticipated that although rates may increase they will remain at low levels. Arlingclose</w:t>
      </w:r>
      <w:r>
        <w:rPr>
          <w:szCs w:val="24"/>
        </w:rPr>
        <w:t xml:space="preserve"> </w:t>
      </w:r>
      <w:r w:rsidRPr="00CB47FA">
        <w:rPr>
          <w:szCs w:val="24"/>
        </w:rPr>
        <w:t>are forecasting two small increases in 2018/19 with base rates being at 1% in March 2019.</w:t>
      </w:r>
    </w:p>
    <w:p w14:paraId="4A8FAD71" w14:textId="77777777" w:rsidR="004E12B7" w:rsidRDefault="009B446A" w:rsidP="004E12B7">
      <w:pPr>
        <w:jc w:val="both"/>
        <w:rPr>
          <w:szCs w:val="24"/>
        </w:rPr>
      </w:pPr>
    </w:p>
    <w:p w14:paraId="04FDAA96" w14:textId="77777777" w:rsidR="004E12B7" w:rsidRPr="004525D1" w:rsidRDefault="00CE562C" w:rsidP="004E12B7">
      <w:pPr>
        <w:jc w:val="both"/>
        <w:rPr>
          <w:i/>
          <w:szCs w:val="24"/>
        </w:rPr>
      </w:pPr>
      <w:r w:rsidRPr="004525D1">
        <w:rPr>
          <w:i/>
          <w:szCs w:val="24"/>
        </w:rPr>
        <w:t xml:space="preserve">Credit </w:t>
      </w:r>
      <w:r>
        <w:rPr>
          <w:i/>
          <w:szCs w:val="24"/>
        </w:rPr>
        <w:t>environment</w:t>
      </w:r>
      <w:r w:rsidRPr="004525D1">
        <w:rPr>
          <w:i/>
          <w:szCs w:val="24"/>
        </w:rPr>
        <w:t xml:space="preserve"> </w:t>
      </w:r>
    </w:p>
    <w:p w14:paraId="1285EA80" w14:textId="77777777" w:rsidR="004E12B7" w:rsidRPr="00CB47FA" w:rsidRDefault="009B446A" w:rsidP="004E12B7">
      <w:pPr>
        <w:jc w:val="both"/>
        <w:rPr>
          <w:szCs w:val="24"/>
        </w:rPr>
      </w:pPr>
    </w:p>
    <w:p w14:paraId="3681F835" w14:textId="2A816324" w:rsidR="004E12B7" w:rsidRDefault="00CE562C" w:rsidP="004E12B7">
      <w:pPr>
        <w:jc w:val="both"/>
        <w:rPr>
          <w:szCs w:val="24"/>
        </w:rPr>
      </w:pPr>
      <w:r w:rsidRPr="00CB47FA">
        <w:rPr>
          <w:szCs w:val="24"/>
        </w:rPr>
        <w:t>The rules for UK banks’ ring-fencing were finalised by the Prudential Regulation Authority and banks began the complex implementation process ahead of the statutory deadline of 1st January 2019. Under these rules the largest UK banks will be required to separate their retail banking services to individuals and small businesses from their investment banking activities with the retail bank being referred to as the ring</w:t>
      </w:r>
      <w:r w:rsidR="007C09ED">
        <w:rPr>
          <w:szCs w:val="24"/>
        </w:rPr>
        <w:t>-</w:t>
      </w:r>
      <w:r w:rsidRPr="00CB47FA">
        <w:rPr>
          <w:szCs w:val="24"/>
        </w:rPr>
        <w:t>fenced bank.  As</w:t>
      </w:r>
      <w:r>
        <w:rPr>
          <w:szCs w:val="24"/>
        </w:rPr>
        <w:t xml:space="preserve"> it was unclear</w:t>
      </w:r>
      <w:r w:rsidRPr="00CB47FA">
        <w:rPr>
          <w:szCs w:val="24"/>
        </w:rPr>
        <w:t xml:space="preserve"> which banking entities the </w:t>
      </w:r>
      <w:r>
        <w:rPr>
          <w:szCs w:val="24"/>
        </w:rPr>
        <w:t>council</w:t>
      </w:r>
      <w:r w:rsidRPr="00CB47FA">
        <w:rPr>
          <w:szCs w:val="24"/>
        </w:rPr>
        <w:t xml:space="preserve"> would be dealing with once ring-fencing was implemented </w:t>
      </w:r>
      <w:r>
        <w:rPr>
          <w:szCs w:val="24"/>
        </w:rPr>
        <w:t>i</w:t>
      </w:r>
      <w:r w:rsidRPr="00CB47FA">
        <w:rPr>
          <w:szCs w:val="24"/>
        </w:rPr>
        <w:t>n May 2017 Arlingclose advised adjusting downwards the maturity limit for unsecured investments to a maximum of 6 months.  The rating agencies had slightly varying views on the creditworthiness of the restructured entities.</w:t>
      </w:r>
      <w:r>
        <w:rPr>
          <w:szCs w:val="24"/>
        </w:rPr>
        <w:t xml:space="preserve"> This uncertainty around the banking sector </w:t>
      </w:r>
      <w:r w:rsidR="002956E1">
        <w:rPr>
          <w:szCs w:val="24"/>
        </w:rPr>
        <w:t>has a</w:t>
      </w:r>
      <w:r>
        <w:rPr>
          <w:szCs w:val="24"/>
        </w:rPr>
        <w:t xml:space="preserve"> limited impact on the </w:t>
      </w:r>
      <w:r w:rsidR="002956E1">
        <w:rPr>
          <w:szCs w:val="24"/>
        </w:rPr>
        <w:t>council as</w:t>
      </w:r>
      <w:r>
        <w:rPr>
          <w:szCs w:val="24"/>
        </w:rPr>
        <w:t xml:space="preserve"> </w:t>
      </w:r>
      <w:r w:rsidR="00024DFA">
        <w:rPr>
          <w:szCs w:val="24"/>
        </w:rPr>
        <w:t>the</w:t>
      </w:r>
      <w:r>
        <w:rPr>
          <w:szCs w:val="24"/>
        </w:rPr>
        <w:t xml:space="preserve"> policy </w:t>
      </w:r>
      <w:r w:rsidR="002956E1">
        <w:rPr>
          <w:szCs w:val="24"/>
        </w:rPr>
        <w:t>is</w:t>
      </w:r>
      <w:r>
        <w:rPr>
          <w:szCs w:val="24"/>
        </w:rPr>
        <w:t xml:space="preserve"> not</w:t>
      </w:r>
      <w:r w:rsidR="002956E1">
        <w:rPr>
          <w:szCs w:val="24"/>
        </w:rPr>
        <w:t xml:space="preserve"> to</w:t>
      </w:r>
      <w:r>
        <w:rPr>
          <w:szCs w:val="24"/>
        </w:rPr>
        <w:t xml:space="preserve"> hav</w:t>
      </w:r>
      <w:r w:rsidR="002956E1">
        <w:rPr>
          <w:szCs w:val="24"/>
        </w:rPr>
        <w:t>e</w:t>
      </w:r>
      <w:r>
        <w:rPr>
          <w:szCs w:val="24"/>
        </w:rPr>
        <w:t xml:space="preserve"> long term fixed investments with the banks. </w:t>
      </w:r>
      <w:r w:rsidR="002956E1">
        <w:rPr>
          <w:szCs w:val="24"/>
        </w:rPr>
        <w:t xml:space="preserve">However, the council </w:t>
      </w:r>
      <w:r>
        <w:rPr>
          <w:szCs w:val="24"/>
        </w:rPr>
        <w:t xml:space="preserve">will continue to need short term or call accounts and the banks used will be kept under review.  </w:t>
      </w:r>
    </w:p>
    <w:p w14:paraId="331BDC93" w14:textId="77777777" w:rsidR="004E12B7" w:rsidRPr="00CB47FA" w:rsidRDefault="009B446A" w:rsidP="004E12B7">
      <w:pPr>
        <w:jc w:val="both"/>
        <w:rPr>
          <w:szCs w:val="24"/>
        </w:rPr>
      </w:pPr>
    </w:p>
    <w:p w14:paraId="4EE9CCA4" w14:textId="77777777" w:rsidR="004E12B7" w:rsidRPr="004525D1" w:rsidRDefault="00CE562C" w:rsidP="004E12B7">
      <w:pPr>
        <w:jc w:val="both"/>
        <w:rPr>
          <w:i/>
          <w:szCs w:val="24"/>
        </w:rPr>
      </w:pPr>
      <w:r w:rsidRPr="004525D1">
        <w:rPr>
          <w:i/>
          <w:szCs w:val="24"/>
        </w:rPr>
        <w:t xml:space="preserve">Credit Rating developments </w:t>
      </w:r>
    </w:p>
    <w:p w14:paraId="7A5C963A" w14:textId="77777777" w:rsidR="004E12B7" w:rsidRPr="00CB47FA" w:rsidRDefault="009B446A" w:rsidP="004E12B7">
      <w:pPr>
        <w:jc w:val="both"/>
        <w:rPr>
          <w:szCs w:val="24"/>
        </w:rPr>
      </w:pPr>
    </w:p>
    <w:p w14:paraId="00CE2C45" w14:textId="5EA2D764" w:rsidR="004E12B7" w:rsidRPr="00CB47FA" w:rsidRDefault="00CE562C" w:rsidP="004E12B7">
      <w:pPr>
        <w:jc w:val="both"/>
        <w:rPr>
          <w:szCs w:val="24"/>
        </w:rPr>
      </w:pPr>
      <w:r w:rsidRPr="00CB47FA">
        <w:rPr>
          <w:szCs w:val="24"/>
        </w:rPr>
        <w:t xml:space="preserve">The most significant change was the downgrade by Moody’s to the UK sovereign rating in September from Aa1 to Aa2. </w:t>
      </w:r>
      <w:r w:rsidR="003C7949" w:rsidRPr="003C7949">
        <w:rPr>
          <w:szCs w:val="24"/>
        </w:rPr>
        <w:t>Following this, Moody's downgraded UK local authorities, reflecting the close economic, financial and institutional linkages between the sovereign and sub-sovereign sectors. Th</w:t>
      </w:r>
      <w:r w:rsidR="003C7949">
        <w:rPr>
          <w:szCs w:val="24"/>
        </w:rPr>
        <w:t>is</w:t>
      </w:r>
      <w:r w:rsidR="003C7949" w:rsidRPr="003C7949">
        <w:rPr>
          <w:szCs w:val="24"/>
        </w:rPr>
        <w:t xml:space="preserve"> credit rating downgrade for the </w:t>
      </w:r>
      <w:r w:rsidR="003C7949">
        <w:rPr>
          <w:szCs w:val="24"/>
        </w:rPr>
        <w:t>c</w:t>
      </w:r>
      <w:r w:rsidR="003C7949" w:rsidRPr="003C7949">
        <w:rPr>
          <w:szCs w:val="24"/>
        </w:rPr>
        <w:t xml:space="preserve">ounty </w:t>
      </w:r>
      <w:r w:rsidR="003C7949">
        <w:rPr>
          <w:szCs w:val="24"/>
        </w:rPr>
        <w:t>c</w:t>
      </w:r>
      <w:r w:rsidR="003C7949" w:rsidRPr="003C7949">
        <w:rPr>
          <w:szCs w:val="24"/>
        </w:rPr>
        <w:t>ouncil</w:t>
      </w:r>
      <w:r w:rsidR="003C7949">
        <w:rPr>
          <w:szCs w:val="24"/>
        </w:rPr>
        <w:t xml:space="preserve">, to </w:t>
      </w:r>
      <w:r w:rsidR="003C7949">
        <w:rPr>
          <w:lang w:val="cy-GB"/>
        </w:rPr>
        <w:t>Aa3 from Aa2,</w:t>
      </w:r>
      <w:r w:rsidR="003C7949" w:rsidRPr="003C7949">
        <w:rPr>
          <w:szCs w:val="24"/>
        </w:rPr>
        <w:t xml:space="preserve"> </w:t>
      </w:r>
      <w:r w:rsidR="003C7949">
        <w:rPr>
          <w:szCs w:val="24"/>
        </w:rPr>
        <w:t>has</w:t>
      </w:r>
      <w:r w:rsidR="003C7949" w:rsidRPr="003C7949">
        <w:rPr>
          <w:szCs w:val="24"/>
        </w:rPr>
        <w:t xml:space="preserve"> no expected practical implications based on current plans.</w:t>
      </w:r>
    </w:p>
    <w:p w14:paraId="5C29F626" w14:textId="77777777" w:rsidR="003C7949" w:rsidRDefault="003C7949" w:rsidP="004E12B7">
      <w:pPr>
        <w:jc w:val="both"/>
        <w:rPr>
          <w:i/>
          <w:szCs w:val="24"/>
        </w:rPr>
      </w:pPr>
    </w:p>
    <w:p w14:paraId="0084F53D" w14:textId="77777777" w:rsidR="004E12B7" w:rsidRPr="004525D1" w:rsidRDefault="00CE562C" w:rsidP="004E12B7">
      <w:pPr>
        <w:jc w:val="both"/>
        <w:rPr>
          <w:i/>
          <w:szCs w:val="24"/>
        </w:rPr>
      </w:pPr>
      <w:r w:rsidRPr="004525D1">
        <w:rPr>
          <w:i/>
          <w:szCs w:val="24"/>
        </w:rPr>
        <w:t>Other developments</w:t>
      </w:r>
    </w:p>
    <w:p w14:paraId="07C0D20C" w14:textId="77777777" w:rsidR="004E12B7" w:rsidRPr="00CB47FA" w:rsidRDefault="00CE562C" w:rsidP="004E12B7">
      <w:pPr>
        <w:jc w:val="both"/>
        <w:rPr>
          <w:szCs w:val="24"/>
        </w:rPr>
      </w:pPr>
      <w:r w:rsidRPr="00CB47FA">
        <w:rPr>
          <w:szCs w:val="24"/>
        </w:rPr>
        <w:t xml:space="preserve"> </w:t>
      </w:r>
    </w:p>
    <w:p w14:paraId="0B46CDC5" w14:textId="492DA1A9" w:rsidR="004E12B7" w:rsidRPr="00CB47FA" w:rsidRDefault="008F6F02" w:rsidP="004E12B7">
      <w:pPr>
        <w:jc w:val="both"/>
        <w:rPr>
          <w:szCs w:val="24"/>
        </w:rPr>
      </w:pPr>
      <w:r>
        <w:rPr>
          <w:szCs w:val="24"/>
        </w:rPr>
        <w:t xml:space="preserve">Although there was no ongoing lending to </w:t>
      </w:r>
      <w:r w:rsidRPr="00CB47FA">
        <w:rPr>
          <w:szCs w:val="24"/>
        </w:rPr>
        <w:t>Northamptonshire County Council (NCC</w:t>
      </w:r>
      <w:r>
        <w:rPr>
          <w:szCs w:val="24"/>
        </w:rPr>
        <w:t>),</w:t>
      </w:r>
      <w:r w:rsidRPr="00CB47FA">
        <w:rPr>
          <w:szCs w:val="24"/>
        </w:rPr>
        <w:t xml:space="preserve"> </w:t>
      </w:r>
      <w:r>
        <w:rPr>
          <w:szCs w:val="24"/>
        </w:rPr>
        <w:t>i</w:t>
      </w:r>
      <w:r w:rsidR="00CE562C" w:rsidRPr="00CB47FA">
        <w:rPr>
          <w:szCs w:val="24"/>
        </w:rPr>
        <w:t>n February, Arlingclose advised against lending to</w:t>
      </w:r>
      <w:r>
        <w:rPr>
          <w:szCs w:val="24"/>
        </w:rPr>
        <w:t xml:space="preserve"> </w:t>
      </w:r>
      <w:r w:rsidR="002956E1">
        <w:rPr>
          <w:szCs w:val="24"/>
        </w:rPr>
        <w:t>this Council</w:t>
      </w:r>
      <w:r w:rsidR="00CE562C" w:rsidRPr="00CB47FA">
        <w:rPr>
          <w:szCs w:val="24"/>
        </w:rPr>
        <w:t>. NCC issued a section 114 notice in light of the risk that it would not be in a position to deliver a balanced budget. Th</w:t>
      </w:r>
      <w:r w:rsidR="002956E1">
        <w:rPr>
          <w:szCs w:val="24"/>
        </w:rPr>
        <w:t xml:space="preserve">e guidance </w:t>
      </w:r>
      <w:r w:rsidR="00CE562C" w:rsidRPr="00CB47FA">
        <w:rPr>
          <w:szCs w:val="24"/>
        </w:rPr>
        <w:t>has now been revised to "Arlingclose is now comfortable with clients lending to Northamptonshire County Council for treasury management purposes for a maximum duration of 12 months"</w:t>
      </w:r>
      <w:r w:rsidR="00CE562C">
        <w:rPr>
          <w:szCs w:val="24"/>
        </w:rPr>
        <w:t>.</w:t>
      </w:r>
    </w:p>
    <w:p w14:paraId="3650BAA2" w14:textId="77777777" w:rsidR="004E12B7" w:rsidRPr="00CB47FA" w:rsidRDefault="009B446A" w:rsidP="004E12B7">
      <w:pPr>
        <w:jc w:val="both"/>
        <w:rPr>
          <w:szCs w:val="24"/>
        </w:rPr>
      </w:pPr>
    </w:p>
    <w:p w14:paraId="52149ED8" w14:textId="77777777" w:rsidR="004E12B7" w:rsidRPr="00247061" w:rsidRDefault="00CE562C" w:rsidP="004E12B7">
      <w:pPr>
        <w:jc w:val="both"/>
        <w:rPr>
          <w:b/>
        </w:rPr>
      </w:pPr>
      <w:r w:rsidRPr="00247061">
        <w:rPr>
          <w:b/>
        </w:rPr>
        <w:t xml:space="preserve">Treasury Management Activity 2017/18 </w:t>
      </w:r>
    </w:p>
    <w:p w14:paraId="7C1EA041" w14:textId="77777777" w:rsidR="004E12B7" w:rsidRPr="00B06B0C" w:rsidRDefault="009B446A" w:rsidP="004E12B7">
      <w:pPr>
        <w:jc w:val="both"/>
        <w:rPr>
          <w:b/>
        </w:rPr>
      </w:pPr>
    </w:p>
    <w:p w14:paraId="3DF6CB02" w14:textId="77777777" w:rsidR="004E12B7" w:rsidRDefault="00CE562C" w:rsidP="004E12B7">
      <w:pPr>
        <w:jc w:val="both"/>
        <w:rPr>
          <w:szCs w:val="24"/>
          <w:lang w:eastAsia="en-US"/>
        </w:rPr>
      </w:pPr>
      <w:r w:rsidRPr="00B06B0C">
        <w:rPr>
          <w:szCs w:val="24"/>
        </w:rPr>
        <w:t>Treasury Management activity is undertaken in accordance with the</w:t>
      </w:r>
      <w:r>
        <w:rPr>
          <w:szCs w:val="24"/>
        </w:rPr>
        <w:t xml:space="preserve"> council's</w:t>
      </w:r>
      <w:r w:rsidRPr="00B06B0C">
        <w:rPr>
          <w:szCs w:val="24"/>
        </w:rPr>
        <w:t xml:space="preserve"> Treasury Management Strategy. Full Council approved the 2017/18 Treasury Management Strategy at its meeting</w:t>
      </w:r>
      <w:r w:rsidRPr="00B06B0C">
        <w:rPr>
          <w:szCs w:val="24"/>
          <w:lang w:eastAsia="en-US"/>
        </w:rPr>
        <w:t xml:space="preserve"> on </w:t>
      </w:r>
      <w:r>
        <w:rPr>
          <w:rFonts w:cs="Arial"/>
          <w:szCs w:val="24"/>
          <w:lang w:eastAsia="en-US"/>
        </w:rPr>
        <w:t>9</w:t>
      </w:r>
      <w:r w:rsidRPr="00B06B0C">
        <w:rPr>
          <w:rFonts w:cs="Arial"/>
          <w:b/>
          <w:i/>
          <w:color w:val="FF0000"/>
          <w:szCs w:val="24"/>
          <w:lang w:eastAsia="en-US"/>
        </w:rPr>
        <w:t xml:space="preserve"> </w:t>
      </w:r>
      <w:r w:rsidRPr="00B06B0C">
        <w:rPr>
          <w:rFonts w:cs="Arial"/>
          <w:szCs w:val="24"/>
          <w:lang w:eastAsia="en-US"/>
        </w:rPr>
        <w:t>February 2017</w:t>
      </w:r>
      <w:r w:rsidRPr="00B06B0C">
        <w:rPr>
          <w:szCs w:val="24"/>
          <w:lang w:eastAsia="en-US"/>
        </w:rPr>
        <w:t xml:space="preserve">. The </w:t>
      </w:r>
      <w:r>
        <w:rPr>
          <w:szCs w:val="24"/>
          <w:lang w:eastAsia="en-US"/>
        </w:rPr>
        <w:t>c</w:t>
      </w:r>
      <w:r w:rsidRPr="00B06B0C">
        <w:rPr>
          <w:szCs w:val="24"/>
          <w:lang w:eastAsia="en-US"/>
        </w:rPr>
        <w:t>ouncil’s stated investment priorities were</w:t>
      </w:r>
      <w:r>
        <w:rPr>
          <w:szCs w:val="24"/>
          <w:lang w:eastAsia="en-US"/>
        </w:rPr>
        <w:t xml:space="preserve"> maintaining</w:t>
      </w:r>
      <w:r w:rsidRPr="00B06B0C">
        <w:rPr>
          <w:szCs w:val="24"/>
          <w:lang w:eastAsia="en-US"/>
        </w:rPr>
        <w:t>:</w:t>
      </w:r>
    </w:p>
    <w:p w14:paraId="01353C2E" w14:textId="77777777" w:rsidR="00ED1B9D" w:rsidRPr="00B06B0C" w:rsidRDefault="00ED1B9D" w:rsidP="004E12B7">
      <w:pPr>
        <w:jc w:val="both"/>
        <w:rPr>
          <w:szCs w:val="24"/>
        </w:rPr>
      </w:pPr>
    </w:p>
    <w:p w14:paraId="3351306B" w14:textId="77777777" w:rsidR="004E12B7" w:rsidRPr="00B06B0C" w:rsidRDefault="00CE562C" w:rsidP="004E12B7">
      <w:pPr>
        <w:spacing w:before="45" w:after="45"/>
        <w:jc w:val="both"/>
        <w:rPr>
          <w:rFonts w:cs="Arial"/>
          <w:szCs w:val="24"/>
        </w:rPr>
      </w:pPr>
      <w:r w:rsidRPr="00B06B0C">
        <w:rPr>
          <w:rFonts w:cs="Arial"/>
          <w:szCs w:val="24"/>
        </w:rPr>
        <w:lastRenderedPageBreak/>
        <w:t>(a)</w:t>
      </w:r>
      <w:r w:rsidRPr="00B06B0C">
        <w:rPr>
          <w:rFonts w:cs="Arial"/>
          <w:szCs w:val="24"/>
        </w:rPr>
        <w:tab/>
        <w:t xml:space="preserve">Security of capital and </w:t>
      </w:r>
    </w:p>
    <w:p w14:paraId="4CBB35CA" w14:textId="77777777" w:rsidR="004E12B7" w:rsidRPr="00B06B0C" w:rsidRDefault="00CE562C" w:rsidP="004E12B7">
      <w:pPr>
        <w:spacing w:before="45" w:after="45"/>
        <w:jc w:val="both"/>
        <w:rPr>
          <w:rFonts w:cs="Arial"/>
          <w:szCs w:val="24"/>
        </w:rPr>
      </w:pPr>
      <w:r w:rsidRPr="00B06B0C">
        <w:rPr>
          <w:rFonts w:cs="Arial"/>
          <w:szCs w:val="24"/>
        </w:rPr>
        <w:t>(b)</w:t>
      </w:r>
      <w:r w:rsidRPr="00B06B0C">
        <w:rPr>
          <w:rFonts w:cs="Arial"/>
          <w:szCs w:val="24"/>
        </w:rPr>
        <w:tab/>
        <w:t xml:space="preserve">Liquidity of investments </w:t>
      </w:r>
    </w:p>
    <w:p w14:paraId="450B53B5" w14:textId="77777777" w:rsidR="004E12B7" w:rsidRPr="00B06B0C" w:rsidRDefault="009B446A" w:rsidP="004E12B7">
      <w:pPr>
        <w:jc w:val="both"/>
        <w:rPr>
          <w:rFonts w:cs="Arial"/>
          <w:szCs w:val="24"/>
          <w:highlight w:val="yellow"/>
        </w:rPr>
      </w:pPr>
    </w:p>
    <w:p w14:paraId="5E9731FA" w14:textId="24D02C32" w:rsidR="004E12B7" w:rsidRPr="0087381F" w:rsidRDefault="00CE562C" w:rsidP="004E12B7">
      <w:pPr>
        <w:pStyle w:val="ListParagraph"/>
        <w:autoSpaceDE w:val="0"/>
        <w:autoSpaceDN w:val="0"/>
        <w:ind w:left="0"/>
        <w:jc w:val="both"/>
        <w:rPr>
          <w:szCs w:val="24"/>
          <w:lang w:eastAsia="en-US"/>
        </w:rPr>
      </w:pPr>
      <w:r w:rsidRPr="0087381F">
        <w:rPr>
          <w:rFonts w:cs="Arial"/>
          <w:szCs w:val="24"/>
        </w:rPr>
        <w:t xml:space="preserve">The </w:t>
      </w:r>
      <w:r>
        <w:rPr>
          <w:szCs w:val="24"/>
        </w:rPr>
        <w:t xml:space="preserve">council </w:t>
      </w:r>
      <w:r w:rsidRPr="0087381F">
        <w:rPr>
          <w:szCs w:val="24"/>
        </w:rPr>
        <w:t xml:space="preserve">has a "low credit risk" investment policy. Therefore investments are primarily in bonds issued by governments, government agencies, government guaranteed bodies, supranational bodies and covered or collateralized corporate bonds. The </w:t>
      </w:r>
      <w:r>
        <w:rPr>
          <w:szCs w:val="24"/>
        </w:rPr>
        <w:t>c</w:t>
      </w:r>
      <w:r w:rsidRPr="0087381F">
        <w:rPr>
          <w:szCs w:val="24"/>
        </w:rPr>
        <w:t>ouncil's position is not to invest in banks, other than call accounts</w:t>
      </w:r>
      <w:r>
        <w:rPr>
          <w:szCs w:val="24"/>
        </w:rPr>
        <w:t>,</w:t>
      </w:r>
      <w:r w:rsidRPr="0087381F">
        <w:rPr>
          <w:szCs w:val="24"/>
        </w:rPr>
        <w:t xml:space="preserve"> and therefore it is substantially insulated from the effects of an individual or systemic banking "credit event". </w:t>
      </w:r>
      <w:r w:rsidRPr="0087381F">
        <w:rPr>
          <w:szCs w:val="24"/>
          <w:lang w:eastAsia="en-US"/>
        </w:rPr>
        <w:t xml:space="preserve">This </w:t>
      </w:r>
      <w:r>
        <w:rPr>
          <w:szCs w:val="24"/>
          <w:lang w:eastAsia="en-US"/>
        </w:rPr>
        <w:t>management</w:t>
      </w:r>
      <w:r w:rsidRPr="0087381F">
        <w:rPr>
          <w:szCs w:val="24"/>
          <w:lang w:eastAsia="en-US"/>
        </w:rPr>
        <w:t xml:space="preserve"> of credit risk was a key driver in the </w:t>
      </w:r>
      <w:r>
        <w:rPr>
          <w:szCs w:val="24"/>
          <w:lang w:eastAsia="en-US"/>
        </w:rPr>
        <w:t>t</w:t>
      </w:r>
      <w:r w:rsidRPr="0087381F">
        <w:rPr>
          <w:szCs w:val="24"/>
          <w:lang w:eastAsia="en-US"/>
        </w:rPr>
        <w:t>reasury activit</w:t>
      </w:r>
      <w:r>
        <w:rPr>
          <w:szCs w:val="24"/>
          <w:lang w:eastAsia="en-US"/>
        </w:rPr>
        <w:t>ies undertaken</w:t>
      </w:r>
      <w:r w:rsidRPr="0087381F">
        <w:rPr>
          <w:szCs w:val="24"/>
          <w:lang w:eastAsia="en-US"/>
        </w:rPr>
        <w:t xml:space="preserve"> in 2017/18. </w:t>
      </w:r>
      <w:r>
        <w:rPr>
          <w:szCs w:val="24"/>
          <w:lang w:eastAsia="en-US"/>
        </w:rPr>
        <w:t>W</w:t>
      </w:r>
      <w:r w:rsidRPr="0087381F">
        <w:rPr>
          <w:szCs w:val="24"/>
          <w:lang w:eastAsia="en-US"/>
        </w:rPr>
        <w:t xml:space="preserve">ith the </w:t>
      </w:r>
      <w:r w:rsidR="007C09ED">
        <w:rPr>
          <w:szCs w:val="24"/>
          <w:lang w:eastAsia="en-US"/>
        </w:rPr>
        <w:t>forecast</w:t>
      </w:r>
      <w:r w:rsidRPr="0087381F">
        <w:rPr>
          <w:szCs w:val="24"/>
          <w:lang w:eastAsia="en-US"/>
        </w:rPr>
        <w:t xml:space="preserve"> reduction in reserves</w:t>
      </w:r>
      <w:r>
        <w:rPr>
          <w:szCs w:val="24"/>
          <w:lang w:eastAsia="en-US"/>
        </w:rPr>
        <w:t>,</w:t>
      </w:r>
      <w:r w:rsidRPr="0087381F">
        <w:rPr>
          <w:szCs w:val="24"/>
          <w:lang w:eastAsia="en-US"/>
        </w:rPr>
        <w:t xml:space="preserve"> moves were made to reduce long term investment holdings to reduce market risk</w:t>
      </w:r>
      <w:r>
        <w:rPr>
          <w:szCs w:val="24"/>
          <w:lang w:eastAsia="en-US"/>
        </w:rPr>
        <w:t xml:space="preserve"> </w:t>
      </w:r>
      <w:r w:rsidR="007C09ED">
        <w:rPr>
          <w:szCs w:val="24"/>
          <w:lang w:eastAsia="en-US"/>
        </w:rPr>
        <w:t>too</w:t>
      </w:r>
      <w:r w:rsidRPr="0087381F">
        <w:rPr>
          <w:szCs w:val="24"/>
          <w:lang w:eastAsia="en-US"/>
        </w:rPr>
        <w:t>.</w:t>
      </w:r>
    </w:p>
    <w:p w14:paraId="69651AE3" w14:textId="77777777" w:rsidR="004E12B7" w:rsidRPr="0087381F" w:rsidRDefault="009B446A" w:rsidP="004E12B7">
      <w:pPr>
        <w:pStyle w:val="ListParagraph"/>
        <w:autoSpaceDE w:val="0"/>
        <w:autoSpaceDN w:val="0"/>
        <w:ind w:left="0"/>
        <w:jc w:val="both"/>
        <w:rPr>
          <w:szCs w:val="24"/>
          <w:lang w:eastAsia="en-US"/>
        </w:rPr>
      </w:pPr>
    </w:p>
    <w:p w14:paraId="66C552D9" w14:textId="77777777" w:rsidR="004E12B7" w:rsidRPr="0087381F" w:rsidRDefault="00CE562C" w:rsidP="004E12B7">
      <w:pPr>
        <w:jc w:val="both"/>
        <w:rPr>
          <w:szCs w:val="24"/>
          <w:lang w:eastAsia="en-US"/>
        </w:rPr>
      </w:pPr>
      <w:r w:rsidRPr="0087381F">
        <w:rPr>
          <w:rFonts w:cs="Arial"/>
          <w:szCs w:val="24"/>
        </w:rPr>
        <w:t xml:space="preserve">The </w:t>
      </w:r>
      <w:r>
        <w:rPr>
          <w:rFonts w:cs="Arial"/>
          <w:szCs w:val="24"/>
        </w:rPr>
        <w:t>c</w:t>
      </w:r>
      <w:r w:rsidRPr="0087381F">
        <w:rPr>
          <w:rFonts w:cs="Arial"/>
          <w:szCs w:val="24"/>
        </w:rPr>
        <w:t>ouncil also aimed to achieve the optimum return on its investments commensurate with proper levels of security and liquidity. 2017/18 saw continued low interest rates with significant economic uncertainty.</w:t>
      </w:r>
    </w:p>
    <w:p w14:paraId="3B084D9C" w14:textId="77777777" w:rsidR="004E12B7" w:rsidRPr="00B06B0C" w:rsidRDefault="009B446A" w:rsidP="004E12B7">
      <w:pPr>
        <w:jc w:val="both"/>
        <w:rPr>
          <w:szCs w:val="24"/>
          <w:highlight w:val="yellow"/>
          <w:lang w:eastAsia="en-US"/>
        </w:rPr>
      </w:pPr>
    </w:p>
    <w:p w14:paraId="48964066" w14:textId="77777777" w:rsidR="004E12B7" w:rsidRPr="00693AE3" w:rsidRDefault="00CE562C" w:rsidP="004E12B7">
      <w:pPr>
        <w:jc w:val="both"/>
        <w:rPr>
          <w:szCs w:val="24"/>
          <w:lang w:eastAsia="en-US"/>
        </w:rPr>
      </w:pPr>
      <w:r w:rsidRPr="00693AE3">
        <w:rPr>
          <w:szCs w:val="24"/>
          <w:lang w:eastAsia="en-US"/>
        </w:rPr>
        <w:t xml:space="preserve">The </w:t>
      </w:r>
      <w:r>
        <w:rPr>
          <w:szCs w:val="24"/>
          <w:lang w:eastAsia="en-US"/>
        </w:rPr>
        <w:t>c</w:t>
      </w:r>
      <w:r w:rsidRPr="00693AE3">
        <w:rPr>
          <w:szCs w:val="24"/>
          <w:lang w:eastAsia="en-US"/>
        </w:rPr>
        <w:t>ouncil’s stated borrowing strategy is to fund its capital expenditure in a cost effective manner. This will involve using short term and variable rate loans when these are seen as being the most beneficial. However</w:t>
      </w:r>
      <w:r>
        <w:rPr>
          <w:szCs w:val="24"/>
          <w:lang w:eastAsia="en-US"/>
        </w:rPr>
        <w:t>,</w:t>
      </w:r>
      <w:r w:rsidRPr="00693AE3">
        <w:rPr>
          <w:szCs w:val="24"/>
          <w:lang w:eastAsia="en-US"/>
        </w:rPr>
        <w:t xml:space="preserve"> consideration </w:t>
      </w:r>
      <w:r>
        <w:rPr>
          <w:szCs w:val="24"/>
          <w:lang w:eastAsia="en-US"/>
        </w:rPr>
        <w:t>is also</w:t>
      </w:r>
      <w:r w:rsidRPr="00693AE3">
        <w:rPr>
          <w:szCs w:val="24"/>
          <w:lang w:eastAsia="en-US"/>
        </w:rPr>
        <w:t xml:space="preserve"> given to the long term funding needs of the </w:t>
      </w:r>
      <w:r>
        <w:rPr>
          <w:szCs w:val="24"/>
          <w:lang w:eastAsia="en-US"/>
        </w:rPr>
        <w:t>c</w:t>
      </w:r>
      <w:r w:rsidRPr="00693AE3">
        <w:rPr>
          <w:szCs w:val="24"/>
          <w:lang w:eastAsia="en-US"/>
        </w:rPr>
        <w:t xml:space="preserve">ouncil and the stability </w:t>
      </w:r>
      <w:r>
        <w:rPr>
          <w:szCs w:val="24"/>
          <w:lang w:eastAsia="en-US"/>
        </w:rPr>
        <w:t xml:space="preserve">provided </w:t>
      </w:r>
      <w:r w:rsidRPr="00693AE3">
        <w:rPr>
          <w:szCs w:val="24"/>
          <w:lang w:eastAsia="en-US"/>
        </w:rPr>
        <w:t>to budgets th</w:t>
      </w:r>
      <w:r>
        <w:rPr>
          <w:szCs w:val="24"/>
          <w:lang w:eastAsia="en-US"/>
        </w:rPr>
        <w:t>rough</w:t>
      </w:r>
      <w:r w:rsidRPr="00693AE3">
        <w:rPr>
          <w:szCs w:val="24"/>
          <w:lang w:eastAsia="en-US"/>
        </w:rPr>
        <w:t xml:space="preserve"> fixed interest loans. The </w:t>
      </w:r>
      <w:r>
        <w:rPr>
          <w:szCs w:val="24"/>
          <w:lang w:eastAsia="en-US"/>
        </w:rPr>
        <w:t>c</w:t>
      </w:r>
      <w:r w:rsidRPr="00693AE3">
        <w:rPr>
          <w:szCs w:val="24"/>
          <w:lang w:eastAsia="en-US"/>
        </w:rPr>
        <w:t xml:space="preserve">ouncil also </w:t>
      </w:r>
      <w:r>
        <w:rPr>
          <w:szCs w:val="24"/>
          <w:lang w:eastAsia="en-US"/>
        </w:rPr>
        <w:t>regularly</w:t>
      </w:r>
      <w:r w:rsidRPr="00693AE3">
        <w:rPr>
          <w:szCs w:val="24"/>
          <w:lang w:eastAsia="en-US"/>
        </w:rPr>
        <w:t xml:space="preserve"> evaluate</w:t>
      </w:r>
      <w:r>
        <w:rPr>
          <w:szCs w:val="24"/>
          <w:lang w:eastAsia="en-US"/>
        </w:rPr>
        <w:t>s</w:t>
      </w:r>
      <w:r w:rsidRPr="00693AE3">
        <w:rPr>
          <w:szCs w:val="24"/>
          <w:lang w:eastAsia="en-US"/>
        </w:rPr>
        <w:t xml:space="preserve"> debt restructuring opportunities of the existing portfolio. With low interest rates it was considered that </w:t>
      </w:r>
      <w:r>
        <w:rPr>
          <w:szCs w:val="24"/>
          <w:lang w:eastAsia="en-US"/>
        </w:rPr>
        <w:t>renewing to</w:t>
      </w:r>
      <w:r w:rsidRPr="00693AE3">
        <w:rPr>
          <w:szCs w:val="24"/>
          <w:lang w:eastAsia="en-US"/>
        </w:rPr>
        <w:t xml:space="preserve"> short term </w:t>
      </w:r>
      <w:r>
        <w:rPr>
          <w:szCs w:val="24"/>
          <w:lang w:eastAsia="en-US"/>
        </w:rPr>
        <w:t>borrowing</w:t>
      </w:r>
      <w:r w:rsidRPr="00693AE3">
        <w:rPr>
          <w:szCs w:val="24"/>
          <w:lang w:eastAsia="en-US"/>
        </w:rPr>
        <w:t xml:space="preserve"> </w:t>
      </w:r>
      <w:r>
        <w:rPr>
          <w:szCs w:val="24"/>
          <w:lang w:eastAsia="en-US"/>
        </w:rPr>
        <w:t>continued to be the most</w:t>
      </w:r>
      <w:r w:rsidRPr="00693AE3">
        <w:rPr>
          <w:szCs w:val="24"/>
          <w:lang w:eastAsia="en-US"/>
        </w:rPr>
        <w:t xml:space="preserve"> appropriate strategy in 2017/18 and will</w:t>
      </w:r>
      <w:r>
        <w:rPr>
          <w:szCs w:val="24"/>
          <w:lang w:eastAsia="en-US"/>
        </w:rPr>
        <w:t xml:space="preserve"> likely</w:t>
      </w:r>
      <w:r w:rsidRPr="00693AE3">
        <w:rPr>
          <w:szCs w:val="24"/>
          <w:lang w:eastAsia="en-US"/>
        </w:rPr>
        <w:t xml:space="preserve"> continue to be the most cost effective financing method until there is a significant increase in interest rates.</w:t>
      </w:r>
    </w:p>
    <w:p w14:paraId="47316404" w14:textId="77777777" w:rsidR="004E12B7" w:rsidRPr="00B06B0C" w:rsidRDefault="009B446A" w:rsidP="004E12B7">
      <w:pPr>
        <w:jc w:val="both"/>
        <w:rPr>
          <w:szCs w:val="24"/>
          <w:highlight w:val="yellow"/>
        </w:rPr>
      </w:pPr>
    </w:p>
    <w:p w14:paraId="4CD6DAEC" w14:textId="77777777" w:rsidR="004E12B7" w:rsidRPr="00247061" w:rsidRDefault="00CE562C" w:rsidP="004E12B7">
      <w:pPr>
        <w:jc w:val="both"/>
        <w:rPr>
          <w:i/>
        </w:rPr>
      </w:pPr>
      <w:r w:rsidRPr="00247061">
        <w:rPr>
          <w:i/>
        </w:rPr>
        <w:t>Borrowing Activity</w:t>
      </w:r>
    </w:p>
    <w:p w14:paraId="69997808" w14:textId="77777777" w:rsidR="004E12B7" w:rsidRPr="003F7978" w:rsidRDefault="009B446A" w:rsidP="004E12B7">
      <w:pPr>
        <w:jc w:val="both"/>
      </w:pPr>
    </w:p>
    <w:p w14:paraId="3F9EC51D" w14:textId="77777777" w:rsidR="00236D72" w:rsidRPr="003F7978" w:rsidRDefault="00CE562C" w:rsidP="00236D72">
      <w:pPr>
        <w:jc w:val="both"/>
      </w:pPr>
      <w:r w:rsidRPr="00236D72">
        <w:t xml:space="preserve">During the year borrowing was undertaken to finance new capital investment, to replace maturing debt and to cover short term cash-flow variations. </w:t>
      </w:r>
      <w:r w:rsidRPr="003F7978">
        <w:t>In summary the holdings were:</w:t>
      </w:r>
    </w:p>
    <w:tbl>
      <w:tblPr>
        <w:tblW w:w="9022" w:type="dxa"/>
        <w:tblLook w:val="04A0" w:firstRow="1" w:lastRow="0" w:firstColumn="1" w:lastColumn="0" w:noHBand="0" w:noVBand="1"/>
      </w:tblPr>
      <w:tblGrid>
        <w:gridCol w:w="2659"/>
        <w:gridCol w:w="1153"/>
        <w:gridCol w:w="718"/>
        <w:gridCol w:w="1138"/>
        <w:gridCol w:w="1420"/>
        <w:gridCol w:w="1134"/>
        <w:gridCol w:w="800"/>
      </w:tblGrid>
      <w:tr w:rsidR="00207C08" w14:paraId="245CDBB9" w14:textId="77777777" w:rsidTr="00ED1B9D">
        <w:trPr>
          <w:cantSplit/>
          <w:trHeight w:val="429"/>
        </w:trPr>
        <w:tc>
          <w:tcPr>
            <w:tcW w:w="2659" w:type="dxa"/>
            <w:tcBorders>
              <w:top w:val="nil"/>
              <w:left w:val="nil"/>
              <w:bottom w:val="nil"/>
              <w:right w:val="nil"/>
            </w:tcBorders>
            <w:shd w:val="clear" w:color="auto" w:fill="auto"/>
            <w:noWrap/>
            <w:vAlign w:val="bottom"/>
            <w:hideMark/>
          </w:tcPr>
          <w:p w14:paraId="25589A9B" w14:textId="77777777" w:rsidR="004E12B7" w:rsidRPr="00EA594A" w:rsidRDefault="009B446A" w:rsidP="004E12B7">
            <w:pPr>
              <w:rPr>
                <w:rFonts w:cs="Arial"/>
                <w:sz w:val="18"/>
                <w:szCs w:val="18"/>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3002ED" w14:textId="77777777" w:rsidR="004E12B7" w:rsidRPr="00EA594A" w:rsidRDefault="00CE562C" w:rsidP="004E12B7">
            <w:pPr>
              <w:rPr>
                <w:rFonts w:cs="Arial"/>
                <w:b/>
                <w:bCs/>
                <w:color w:val="000000"/>
                <w:sz w:val="18"/>
                <w:szCs w:val="18"/>
              </w:rPr>
            </w:pPr>
            <w:r w:rsidRPr="00EA594A">
              <w:rPr>
                <w:rFonts w:cs="Arial"/>
                <w:b/>
                <w:bCs/>
                <w:color w:val="000000"/>
                <w:sz w:val="18"/>
                <w:szCs w:val="18"/>
              </w:rPr>
              <w:t>Debt 31/03/201</w:t>
            </w:r>
            <w:r>
              <w:rPr>
                <w:rFonts w:cs="Arial"/>
                <w:b/>
                <w:bCs/>
                <w:color w:val="000000"/>
                <w:sz w:val="18"/>
                <w:szCs w:val="18"/>
              </w:rPr>
              <w:t>7</w:t>
            </w:r>
          </w:p>
        </w:tc>
        <w:tc>
          <w:tcPr>
            <w:tcW w:w="718" w:type="dxa"/>
            <w:tcBorders>
              <w:top w:val="single" w:sz="4" w:space="0" w:color="auto"/>
              <w:left w:val="nil"/>
              <w:bottom w:val="single" w:sz="4" w:space="0" w:color="auto"/>
              <w:right w:val="single" w:sz="4" w:space="0" w:color="auto"/>
            </w:tcBorders>
            <w:shd w:val="clear" w:color="auto" w:fill="auto"/>
            <w:noWrap/>
            <w:vAlign w:val="bottom"/>
            <w:hideMark/>
          </w:tcPr>
          <w:p w14:paraId="73ED1709" w14:textId="77777777" w:rsidR="004E12B7" w:rsidRPr="00EA594A" w:rsidRDefault="00CE562C" w:rsidP="004E12B7">
            <w:pPr>
              <w:rPr>
                <w:rFonts w:cs="Arial"/>
                <w:b/>
                <w:bCs/>
                <w:color w:val="000000"/>
                <w:sz w:val="18"/>
                <w:szCs w:val="18"/>
              </w:rPr>
            </w:pPr>
            <w:r w:rsidRPr="00EA594A">
              <w:rPr>
                <w:rFonts w:cs="Arial"/>
                <w:b/>
                <w:bCs/>
                <w:color w:val="000000"/>
                <w:sz w:val="18"/>
                <w:szCs w:val="18"/>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14:paraId="6999A569" w14:textId="77777777" w:rsidR="004E12B7" w:rsidRPr="00EA594A" w:rsidRDefault="00CE562C" w:rsidP="004E12B7">
            <w:pPr>
              <w:rPr>
                <w:rFonts w:cs="Arial"/>
                <w:b/>
                <w:bCs/>
                <w:color w:val="000000"/>
                <w:sz w:val="18"/>
                <w:szCs w:val="18"/>
              </w:rPr>
            </w:pPr>
            <w:r w:rsidRPr="00EA594A">
              <w:rPr>
                <w:rFonts w:cs="Arial"/>
                <w:b/>
                <w:bCs/>
                <w:color w:val="000000"/>
                <w:sz w:val="18"/>
                <w:szCs w:val="18"/>
              </w:rPr>
              <w:t>Borrowing</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466B91C6" w14:textId="77777777" w:rsidR="004E12B7" w:rsidRPr="00EA594A" w:rsidRDefault="00CE562C" w:rsidP="004E12B7">
            <w:pPr>
              <w:rPr>
                <w:rFonts w:cs="Arial"/>
                <w:b/>
                <w:bCs/>
                <w:color w:val="000000"/>
                <w:sz w:val="18"/>
                <w:szCs w:val="18"/>
              </w:rPr>
            </w:pPr>
            <w:r w:rsidRPr="00EA594A">
              <w:rPr>
                <w:rFonts w:cs="Arial"/>
                <w:b/>
                <w:bCs/>
                <w:color w:val="000000"/>
                <w:sz w:val="18"/>
                <w:szCs w:val="18"/>
              </w:rPr>
              <w:t>Repayments</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7C43099" w14:textId="77777777" w:rsidR="004E12B7" w:rsidRPr="00EA594A" w:rsidRDefault="00CE562C" w:rsidP="004E12B7">
            <w:pPr>
              <w:rPr>
                <w:rFonts w:cs="Arial"/>
                <w:b/>
                <w:bCs/>
                <w:color w:val="000000"/>
                <w:sz w:val="18"/>
                <w:szCs w:val="18"/>
              </w:rPr>
            </w:pPr>
            <w:r w:rsidRPr="00EA594A">
              <w:rPr>
                <w:rFonts w:cs="Arial"/>
                <w:b/>
                <w:bCs/>
                <w:color w:val="000000"/>
                <w:sz w:val="18"/>
                <w:szCs w:val="18"/>
              </w:rPr>
              <w:t>Debt 31/03/201</w:t>
            </w:r>
            <w:r>
              <w:rPr>
                <w:rFonts w:cs="Arial"/>
                <w:b/>
                <w:bCs/>
                <w:color w:val="000000"/>
                <w:sz w:val="18"/>
                <w:szCs w:val="18"/>
              </w:rPr>
              <w:t>8</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14:paraId="2C8924FD" w14:textId="77777777" w:rsidR="004E12B7" w:rsidRPr="00EA594A" w:rsidRDefault="00CE562C" w:rsidP="004E12B7">
            <w:pPr>
              <w:rPr>
                <w:rFonts w:cs="Arial"/>
                <w:b/>
                <w:bCs/>
                <w:color w:val="000000"/>
                <w:sz w:val="18"/>
                <w:szCs w:val="18"/>
              </w:rPr>
            </w:pPr>
            <w:r w:rsidRPr="00EA594A">
              <w:rPr>
                <w:rFonts w:cs="Arial"/>
                <w:b/>
                <w:bCs/>
                <w:color w:val="000000"/>
                <w:sz w:val="18"/>
                <w:szCs w:val="18"/>
              </w:rPr>
              <w:t> </w:t>
            </w:r>
          </w:p>
        </w:tc>
      </w:tr>
      <w:tr w:rsidR="00207C08" w14:paraId="7614DED3" w14:textId="77777777" w:rsidTr="004E12B7">
        <w:trPr>
          <w:trHeight w:val="300"/>
        </w:trPr>
        <w:tc>
          <w:tcPr>
            <w:tcW w:w="2659" w:type="dxa"/>
            <w:tcBorders>
              <w:top w:val="nil"/>
              <w:left w:val="nil"/>
              <w:bottom w:val="nil"/>
              <w:right w:val="nil"/>
            </w:tcBorders>
            <w:shd w:val="clear" w:color="auto" w:fill="auto"/>
            <w:noWrap/>
            <w:vAlign w:val="bottom"/>
            <w:hideMark/>
          </w:tcPr>
          <w:p w14:paraId="19660B92" w14:textId="77777777" w:rsidR="004E12B7" w:rsidRPr="00EA594A" w:rsidRDefault="009B446A" w:rsidP="004E12B7">
            <w:pPr>
              <w:rPr>
                <w:rFonts w:cs="Arial"/>
                <w:b/>
                <w:bCs/>
                <w:color w:val="000000"/>
                <w:sz w:val="18"/>
                <w:szCs w:val="18"/>
              </w:rPr>
            </w:pPr>
          </w:p>
        </w:tc>
        <w:tc>
          <w:tcPr>
            <w:tcW w:w="1153" w:type="dxa"/>
            <w:tcBorders>
              <w:top w:val="nil"/>
              <w:left w:val="single" w:sz="4" w:space="0" w:color="auto"/>
              <w:bottom w:val="single" w:sz="4" w:space="0" w:color="auto"/>
              <w:right w:val="single" w:sz="4" w:space="0" w:color="auto"/>
            </w:tcBorders>
            <w:shd w:val="clear" w:color="auto" w:fill="auto"/>
            <w:noWrap/>
            <w:vAlign w:val="bottom"/>
            <w:hideMark/>
          </w:tcPr>
          <w:p w14:paraId="7AD69ED3" w14:textId="77777777" w:rsidR="004E12B7" w:rsidRPr="00EA594A" w:rsidRDefault="00CE562C" w:rsidP="004E12B7">
            <w:pPr>
              <w:rPr>
                <w:rFonts w:cs="Arial"/>
                <w:b/>
                <w:bCs/>
                <w:color w:val="000000"/>
                <w:sz w:val="18"/>
                <w:szCs w:val="18"/>
              </w:rPr>
            </w:pPr>
            <w:r w:rsidRPr="00EA594A">
              <w:rPr>
                <w:rFonts w:cs="Arial"/>
                <w:b/>
                <w:bCs/>
                <w:color w:val="000000"/>
                <w:sz w:val="18"/>
                <w:szCs w:val="18"/>
              </w:rPr>
              <w:t>£m</w:t>
            </w:r>
          </w:p>
        </w:tc>
        <w:tc>
          <w:tcPr>
            <w:tcW w:w="718" w:type="dxa"/>
            <w:tcBorders>
              <w:top w:val="nil"/>
              <w:left w:val="nil"/>
              <w:bottom w:val="single" w:sz="4" w:space="0" w:color="auto"/>
              <w:right w:val="single" w:sz="4" w:space="0" w:color="auto"/>
            </w:tcBorders>
            <w:shd w:val="clear" w:color="auto" w:fill="auto"/>
            <w:noWrap/>
            <w:vAlign w:val="bottom"/>
            <w:hideMark/>
          </w:tcPr>
          <w:p w14:paraId="16980D1A" w14:textId="77777777" w:rsidR="004E12B7" w:rsidRPr="00EA594A" w:rsidRDefault="00CE562C" w:rsidP="004E12B7">
            <w:pPr>
              <w:rPr>
                <w:rFonts w:cs="Arial"/>
                <w:b/>
                <w:bCs/>
                <w:color w:val="000000"/>
                <w:sz w:val="18"/>
                <w:szCs w:val="18"/>
              </w:rPr>
            </w:pPr>
            <w:r w:rsidRPr="00EA594A">
              <w:rPr>
                <w:rFonts w:cs="Arial"/>
                <w:b/>
                <w:bCs/>
                <w:color w:val="000000"/>
                <w:sz w:val="18"/>
                <w:szCs w:val="18"/>
              </w:rPr>
              <w:t>%</w:t>
            </w:r>
          </w:p>
        </w:tc>
        <w:tc>
          <w:tcPr>
            <w:tcW w:w="1138" w:type="dxa"/>
            <w:tcBorders>
              <w:top w:val="nil"/>
              <w:left w:val="nil"/>
              <w:bottom w:val="single" w:sz="4" w:space="0" w:color="auto"/>
              <w:right w:val="single" w:sz="4" w:space="0" w:color="auto"/>
            </w:tcBorders>
            <w:shd w:val="clear" w:color="auto" w:fill="auto"/>
            <w:noWrap/>
            <w:vAlign w:val="bottom"/>
            <w:hideMark/>
          </w:tcPr>
          <w:p w14:paraId="623B4914" w14:textId="77777777" w:rsidR="004E12B7" w:rsidRPr="00EA594A" w:rsidRDefault="00CE562C" w:rsidP="004E12B7">
            <w:pPr>
              <w:rPr>
                <w:rFonts w:cs="Arial"/>
                <w:b/>
                <w:bCs/>
                <w:color w:val="000000"/>
                <w:sz w:val="18"/>
                <w:szCs w:val="18"/>
              </w:rPr>
            </w:pPr>
            <w:r w:rsidRPr="00EA594A">
              <w:rPr>
                <w:rFonts w:cs="Arial"/>
                <w:b/>
                <w:bCs/>
                <w:color w:val="000000"/>
                <w:sz w:val="18"/>
                <w:szCs w:val="18"/>
              </w:rPr>
              <w:t>£m</w:t>
            </w:r>
          </w:p>
        </w:tc>
        <w:tc>
          <w:tcPr>
            <w:tcW w:w="1420" w:type="dxa"/>
            <w:tcBorders>
              <w:top w:val="nil"/>
              <w:left w:val="nil"/>
              <w:bottom w:val="single" w:sz="4" w:space="0" w:color="auto"/>
              <w:right w:val="single" w:sz="4" w:space="0" w:color="auto"/>
            </w:tcBorders>
            <w:shd w:val="clear" w:color="auto" w:fill="auto"/>
            <w:noWrap/>
            <w:vAlign w:val="bottom"/>
            <w:hideMark/>
          </w:tcPr>
          <w:p w14:paraId="176F6BAB" w14:textId="77777777" w:rsidR="004E12B7" w:rsidRPr="00EA594A" w:rsidRDefault="00CE562C" w:rsidP="004E12B7">
            <w:pPr>
              <w:rPr>
                <w:rFonts w:cs="Arial"/>
                <w:b/>
                <w:bCs/>
                <w:color w:val="000000"/>
                <w:sz w:val="18"/>
                <w:szCs w:val="18"/>
              </w:rPr>
            </w:pPr>
            <w:r w:rsidRPr="00EA594A">
              <w:rPr>
                <w:rFonts w:cs="Arial"/>
                <w:b/>
                <w:bCs/>
                <w:color w:val="000000"/>
                <w:sz w:val="18"/>
                <w:szCs w:val="18"/>
              </w:rPr>
              <w:t>£m</w:t>
            </w:r>
          </w:p>
        </w:tc>
        <w:tc>
          <w:tcPr>
            <w:tcW w:w="1134" w:type="dxa"/>
            <w:tcBorders>
              <w:top w:val="nil"/>
              <w:left w:val="nil"/>
              <w:bottom w:val="single" w:sz="4" w:space="0" w:color="auto"/>
              <w:right w:val="single" w:sz="4" w:space="0" w:color="auto"/>
            </w:tcBorders>
            <w:shd w:val="clear" w:color="auto" w:fill="auto"/>
            <w:noWrap/>
            <w:vAlign w:val="bottom"/>
            <w:hideMark/>
          </w:tcPr>
          <w:p w14:paraId="28824C13" w14:textId="77777777" w:rsidR="004E12B7" w:rsidRPr="00EA594A" w:rsidRDefault="00CE562C" w:rsidP="004E12B7">
            <w:pPr>
              <w:rPr>
                <w:rFonts w:cs="Arial"/>
                <w:b/>
                <w:bCs/>
                <w:color w:val="000000"/>
                <w:sz w:val="18"/>
                <w:szCs w:val="18"/>
              </w:rPr>
            </w:pPr>
            <w:r w:rsidRPr="00EA594A">
              <w:rPr>
                <w:rFonts w:cs="Arial"/>
                <w:b/>
                <w:bCs/>
                <w:color w:val="000000"/>
                <w:sz w:val="18"/>
                <w:szCs w:val="18"/>
              </w:rPr>
              <w:t>£m</w:t>
            </w:r>
          </w:p>
        </w:tc>
        <w:tc>
          <w:tcPr>
            <w:tcW w:w="800" w:type="dxa"/>
            <w:tcBorders>
              <w:top w:val="nil"/>
              <w:left w:val="nil"/>
              <w:bottom w:val="single" w:sz="4" w:space="0" w:color="auto"/>
              <w:right w:val="single" w:sz="4" w:space="0" w:color="auto"/>
            </w:tcBorders>
            <w:shd w:val="clear" w:color="auto" w:fill="auto"/>
            <w:noWrap/>
            <w:vAlign w:val="bottom"/>
            <w:hideMark/>
          </w:tcPr>
          <w:p w14:paraId="29AD3D49" w14:textId="77777777" w:rsidR="004E12B7" w:rsidRPr="00EA594A" w:rsidRDefault="00CE562C" w:rsidP="004E12B7">
            <w:pPr>
              <w:rPr>
                <w:rFonts w:cs="Arial"/>
                <w:b/>
                <w:bCs/>
                <w:color w:val="000000"/>
                <w:sz w:val="18"/>
                <w:szCs w:val="18"/>
              </w:rPr>
            </w:pPr>
            <w:r w:rsidRPr="00EA594A">
              <w:rPr>
                <w:rFonts w:cs="Arial"/>
                <w:b/>
                <w:bCs/>
                <w:color w:val="000000"/>
                <w:sz w:val="18"/>
                <w:szCs w:val="18"/>
              </w:rPr>
              <w:t>%</w:t>
            </w:r>
          </w:p>
        </w:tc>
      </w:tr>
      <w:tr w:rsidR="00207C08" w14:paraId="0A1B7CAF" w14:textId="77777777" w:rsidTr="004E12B7">
        <w:trPr>
          <w:trHeight w:val="300"/>
        </w:trPr>
        <w:tc>
          <w:tcPr>
            <w:tcW w:w="2659" w:type="dxa"/>
            <w:tcBorders>
              <w:top w:val="nil"/>
              <w:left w:val="nil"/>
              <w:bottom w:val="nil"/>
              <w:right w:val="nil"/>
            </w:tcBorders>
            <w:shd w:val="clear" w:color="auto" w:fill="auto"/>
            <w:noWrap/>
            <w:vAlign w:val="bottom"/>
            <w:hideMark/>
          </w:tcPr>
          <w:p w14:paraId="19B54588" w14:textId="77777777" w:rsidR="004E12B7" w:rsidRPr="00762862" w:rsidRDefault="00CE562C" w:rsidP="004E12B7">
            <w:pPr>
              <w:rPr>
                <w:rFonts w:cs="Arial"/>
                <w:b/>
                <w:bCs/>
                <w:color w:val="000000"/>
                <w:sz w:val="20"/>
                <w:u w:val="single"/>
              </w:rPr>
            </w:pPr>
            <w:r w:rsidRPr="00762862">
              <w:rPr>
                <w:rFonts w:cs="Arial"/>
                <w:b/>
                <w:bCs/>
                <w:color w:val="000000"/>
                <w:sz w:val="20"/>
                <w:u w:val="single"/>
              </w:rPr>
              <w:t>Fixed Rate Funding</w:t>
            </w:r>
          </w:p>
        </w:tc>
        <w:tc>
          <w:tcPr>
            <w:tcW w:w="1153" w:type="dxa"/>
            <w:tcBorders>
              <w:top w:val="nil"/>
              <w:left w:val="nil"/>
              <w:bottom w:val="nil"/>
              <w:right w:val="nil"/>
            </w:tcBorders>
            <w:shd w:val="clear" w:color="auto" w:fill="auto"/>
            <w:noWrap/>
            <w:vAlign w:val="bottom"/>
            <w:hideMark/>
          </w:tcPr>
          <w:p w14:paraId="5A393611" w14:textId="77777777" w:rsidR="004E12B7" w:rsidRPr="00EA594A" w:rsidRDefault="009B446A" w:rsidP="004E12B7">
            <w:pPr>
              <w:rPr>
                <w:rFonts w:cs="Arial"/>
                <w:b/>
                <w:bCs/>
                <w:color w:val="000000"/>
                <w:sz w:val="18"/>
                <w:szCs w:val="18"/>
                <w:u w:val="single"/>
              </w:rPr>
            </w:pPr>
          </w:p>
        </w:tc>
        <w:tc>
          <w:tcPr>
            <w:tcW w:w="718" w:type="dxa"/>
            <w:tcBorders>
              <w:top w:val="nil"/>
              <w:left w:val="nil"/>
              <w:bottom w:val="nil"/>
              <w:right w:val="nil"/>
            </w:tcBorders>
            <w:shd w:val="clear" w:color="auto" w:fill="auto"/>
            <w:noWrap/>
            <w:vAlign w:val="bottom"/>
            <w:hideMark/>
          </w:tcPr>
          <w:p w14:paraId="5FDC04D6" w14:textId="77777777" w:rsidR="004E12B7" w:rsidRPr="00EA594A" w:rsidRDefault="009B446A" w:rsidP="004E12B7">
            <w:pPr>
              <w:rPr>
                <w:rFonts w:cs="Arial"/>
                <w:sz w:val="18"/>
                <w:szCs w:val="18"/>
              </w:rPr>
            </w:pPr>
          </w:p>
        </w:tc>
        <w:tc>
          <w:tcPr>
            <w:tcW w:w="1138" w:type="dxa"/>
            <w:tcBorders>
              <w:top w:val="nil"/>
              <w:left w:val="nil"/>
              <w:bottom w:val="nil"/>
              <w:right w:val="nil"/>
            </w:tcBorders>
            <w:shd w:val="clear" w:color="auto" w:fill="auto"/>
            <w:noWrap/>
            <w:vAlign w:val="bottom"/>
            <w:hideMark/>
          </w:tcPr>
          <w:p w14:paraId="16B27DB5" w14:textId="77777777" w:rsidR="004E12B7" w:rsidRPr="00EA594A" w:rsidRDefault="009B446A" w:rsidP="004E12B7">
            <w:pPr>
              <w:rPr>
                <w:rFonts w:cs="Arial"/>
                <w:sz w:val="18"/>
                <w:szCs w:val="18"/>
              </w:rPr>
            </w:pPr>
          </w:p>
        </w:tc>
        <w:tc>
          <w:tcPr>
            <w:tcW w:w="1420" w:type="dxa"/>
            <w:tcBorders>
              <w:top w:val="nil"/>
              <w:left w:val="nil"/>
              <w:bottom w:val="nil"/>
              <w:right w:val="nil"/>
            </w:tcBorders>
            <w:shd w:val="clear" w:color="auto" w:fill="auto"/>
            <w:noWrap/>
            <w:vAlign w:val="bottom"/>
            <w:hideMark/>
          </w:tcPr>
          <w:p w14:paraId="588D34D0" w14:textId="77777777" w:rsidR="004E12B7" w:rsidRPr="00EA594A" w:rsidRDefault="009B446A" w:rsidP="004E12B7">
            <w:pPr>
              <w:rPr>
                <w:rFonts w:cs="Arial"/>
                <w:sz w:val="18"/>
                <w:szCs w:val="18"/>
              </w:rPr>
            </w:pPr>
          </w:p>
        </w:tc>
        <w:tc>
          <w:tcPr>
            <w:tcW w:w="1134" w:type="dxa"/>
            <w:tcBorders>
              <w:top w:val="nil"/>
              <w:left w:val="nil"/>
              <w:bottom w:val="nil"/>
              <w:right w:val="nil"/>
            </w:tcBorders>
            <w:shd w:val="clear" w:color="auto" w:fill="auto"/>
            <w:noWrap/>
            <w:vAlign w:val="bottom"/>
            <w:hideMark/>
          </w:tcPr>
          <w:p w14:paraId="3C2FE1E9" w14:textId="77777777" w:rsidR="004E12B7" w:rsidRPr="00EA594A" w:rsidRDefault="009B446A" w:rsidP="004E12B7">
            <w:pPr>
              <w:rPr>
                <w:rFonts w:cs="Arial"/>
                <w:sz w:val="18"/>
                <w:szCs w:val="18"/>
              </w:rPr>
            </w:pPr>
          </w:p>
        </w:tc>
        <w:tc>
          <w:tcPr>
            <w:tcW w:w="800" w:type="dxa"/>
            <w:tcBorders>
              <w:top w:val="nil"/>
              <w:left w:val="nil"/>
              <w:bottom w:val="nil"/>
              <w:right w:val="nil"/>
            </w:tcBorders>
            <w:shd w:val="clear" w:color="auto" w:fill="auto"/>
            <w:noWrap/>
            <w:vAlign w:val="bottom"/>
            <w:hideMark/>
          </w:tcPr>
          <w:p w14:paraId="13FA7307" w14:textId="77777777" w:rsidR="004E12B7" w:rsidRPr="00EA594A" w:rsidRDefault="009B446A" w:rsidP="004E12B7">
            <w:pPr>
              <w:rPr>
                <w:rFonts w:cs="Arial"/>
                <w:sz w:val="18"/>
                <w:szCs w:val="18"/>
              </w:rPr>
            </w:pPr>
          </w:p>
        </w:tc>
      </w:tr>
      <w:tr w:rsidR="00207C08" w14:paraId="7A349513" w14:textId="77777777" w:rsidTr="004E12B7">
        <w:trPr>
          <w:trHeight w:val="300"/>
        </w:trPr>
        <w:tc>
          <w:tcPr>
            <w:tcW w:w="2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AEE55" w14:textId="77777777" w:rsidR="004E12B7" w:rsidRPr="00CB1758" w:rsidRDefault="00CE562C" w:rsidP="004E12B7">
            <w:pPr>
              <w:rPr>
                <w:rFonts w:cs="Arial"/>
                <w:color w:val="000000"/>
                <w:sz w:val="20"/>
              </w:rPr>
            </w:pPr>
            <w:r w:rsidRPr="00CB1758">
              <w:rPr>
                <w:rFonts w:cs="Arial"/>
                <w:color w:val="000000"/>
                <w:sz w:val="20"/>
              </w:rPr>
              <w:t>Public Works Loan Board</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14:paraId="7BE62BE2" w14:textId="77777777" w:rsidR="004E12B7" w:rsidRPr="00CB1758" w:rsidRDefault="00CE562C" w:rsidP="004E12B7">
            <w:pPr>
              <w:jc w:val="right"/>
              <w:rPr>
                <w:rFonts w:cs="Arial"/>
                <w:color w:val="000000"/>
                <w:sz w:val="20"/>
              </w:rPr>
            </w:pPr>
            <w:r w:rsidRPr="00CB1758">
              <w:rPr>
                <w:rFonts w:cs="Arial"/>
                <w:color w:val="000000"/>
                <w:sz w:val="20"/>
              </w:rPr>
              <w:t>213.1</w:t>
            </w:r>
          </w:p>
        </w:tc>
        <w:tc>
          <w:tcPr>
            <w:tcW w:w="718" w:type="dxa"/>
            <w:tcBorders>
              <w:top w:val="single" w:sz="4" w:space="0" w:color="auto"/>
              <w:left w:val="nil"/>
              <w:bottom w:val="single" w:sz="4" w:space="0" w:color="auto"/>
              <w:right w:val="single" w:sz="4" w:space="0" w:color="auto"/>
            </w:tcBorders>
            <w:shd w:val="clear" w:color="auto" w:fill="auto"/>
            <w:noWrap/>
            <w:vAlign w:val="bottom"/>
          </w:tcPr>
          <w:p w14:paraId="482E8AB7" w14:textId="77777777" w:rsidR="004E12B7" w:rsidRPr="00CB1758" w:rsidRDefault="00CE562C" w:rsidP="004E12B7">
            <w:pPr>
              <w:jc w:val="right"/>
              <w:rPr>
                <w:rFonts w:cs="Arial"/>
                <w:color w:val="000000"/>
                <w:sz w:val="20"/>
              </w:rPr>
            </w:pPr>
            <w:r w:rsidRPr="00CB1758">
              <w:rPr>
                <w:rFonts w:cs="Arial"/>
                <w:color w:val="000000"/>
                <w:sz w:val="20"/>
              </w:rPr>
              <w:t>20.5</w:t>
            </w:r>
          </w:p>
        </w:tc>
        <w:tc>
          <w:tcPr>
            <w:tcW w:w="1138" w:type="dxa"/>
            <w:tcBorders>
              <w:top w:val="single" w:sz="4" w:space="0" w:color="auto"/>
              <w:left w:val="nil"/>
              <w:bottom w:val="single" w:sz="4" w:space="0" w:color="auto"/>
              <w:right w:val="single" w:sz="4" w:space="0" w:color="auto"/>
            </w:tcBorders>
            <w:shd w:val="clear" w:color="auto" w:fill="auto"/>
            <w:noWrap/>
            <w:vAlign w:val="bottom"/>
          </w:tcPr>
          <w:p w14:paraId="3C8C7402" w14:textId="77777777" w:rsidR="004E12B7" w:rsidRPr="00CB1758" w:rsidRDefault="00CE562C" w:rsidP="004E12B7">
            <w:pPr>
              <w:jc w:val="right"/>
              <w:rPr>
                <w:rFonts w:cs="Arial"/>
                <w:color w:val="000000"/>
                <w:sz w:val="20"/>
              </w:rPr>
            </w:pPr>
            <w:r w:rsidRPr="00CB1758">
              <w:rPr>
                <w:rFonts w:cs="Arial"/>
                <w:color w:val="000000"/>
                <w:sz w:val="20"/>
              </w:rPr>
              <w:t>0</w:t>
            </w: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734B4F49" w14:textId="77777777" w:rsidR="004E12B7" w:rsidRPr="00CB1758" w:rsidRDefault="00CE562C" w:rsidP="004E12B7">
            <w:pPr>
              <w:jc w:val="right"/>
              <w:rPr>
                <w:rFonts w:cs="Arial"/>
                <w:color w:val="000000"/>
                <w:sz w:val="20"/>
              </w:rPr>
            </w:pPr>
            <w:r w:rsidRPr="00CB1758">
              <w:rPr>
                <w:rFonts w:cs="Arial"/>
                <w:color w:val="000000"/>
                <w:sz w:val="20"/>
              </w:rPr>
              <w:t>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B2D8634" w14:textId="77777777" w:rsidR="004E12B7" w:rsidRPr="00CB1758" w:rsidRDefault="00CE562C" w:rsidP="004E12B7">
            <w:pPr>
              <w:jc w:val="right"/>
              <w:rPr>
                <w:rFonts w:cs="Arial"/>
                <w:color w:val="000000"/>
                <w:sz w:val="20"/>
              </w:rPr>
            </w:pPr>
            <w:r w:rsidRPr="00CB1758">
              <w:rPr>
                <w:rFonts w:cs="Arial"/>
                <w:color w:val="000000"/>
                <w:sz w:val="20"/>
              </w:rPr>
              <w:t>213.1</w:t>
            </w:r>
          </w:p>
        </w:tc>
        <w:tc>
          <w:tcPr>
            <w:tcW w:w="800" w:type="dxa"/>
            <w:tcBorders>
              <w:top w:val="single" w:sz="4" w:space="0" w:color="auto"/>
              <w:left w:val="nil"/>
              <w:bottom w:val="single" w:sz="4" w:space="0" w:color="auto"/>
              <w:right w:val="single" w:sz="4" w:space="0" w:color="auto"/>
            </w:tcBorders>
            <w:shd w:val="clear" w:color="auto" w:fill="auto"/>
            <w:noWrap/>
            <w:vAlign w:val="bottom"/>
          </w:tcPr>
          <w:p w14:paraId="0C8234E9" w14:textId="77777777" w:rsidR="004E12B7" w:rsidRPr="00CB1758" w:rsidRDefault="00CE562C" w:rsidP="004E12B7">
            <w:pPr>
              <w:jc w:val="right"/>
              <w:rPr>
                <w:rFonts w:cs="Arial"/>
                <w:color w:val="000000"/>
                <w:sz w:val="20"/>
              </w:rPr>
            </w:pPr>
            <w:r w:rsidRPr="00CB1758">
              <w:rPr>
                <w:rFonts w:cs="Arial"/>
                <w:color w:val="000000"/>
                <w:sz w:val="20"/>
              </w:rPr>
              <w:t>22.4</w:t>
            </w:r>
          </w:p>
        </w:tc>
      </w:tr>
      <w:tr w:rsidR="00207C08" w14:paraId="23887CCC" w14:textId="77777777" w:rsidTr="004E12B7">
        <w:trPr>
          <w:trHeight w:val="300"/>
        </w:trPr>
        <w:tc>
          <w:tcPr>
            <w:tcW w:w="2659" w:type="dxa"/>
            <w:tcBorders>
              <w:top w:val="nil"/>
              <w:left w:val="single" w:sz="4" w:space="0" w:color="auto"/>
              <w:bottom w:val="single" w:sz="4" w:space="0" w:color="auto"/>
              <w:right w:val="single" w:sz="4" w:space="0" w:color="auto"/>
            </w:tcBorders>
            <w:shd w:val="clear" w:color="auto" w:fill="auto"/>
            <w:noWrap/>
            <w:vAlign w:val="bottom"/>
            <w:hideMark/>
          </w:tcPr>
          <w:p w14:paraId="4E47F037" w14:textId="77777777" w:rsidR="004E12B7" w:rsidRPr="00CB1758" w:rsidRDefault="00CE562C" w:rsidP="004E12B7">
            <w:pPr>
              <w:rPr>
                <w:rFonts w:cs="Arial"/>
                <w:color w:val="000000"/>
                <w:sz w:val="20"/>
              </w:rPr>
            </w:pPr>
            <w:r w:rsidRPr="00CB1758">
              <w:rPr>
                <w:rFonts w:cs="Arial"/>
                <w:color w:val="000000"/>
                <w:sz w:val="20"/>
              </w:rPr>
              <w:t>Market Borrowing</w:t>
            </w:r>
          </w:p>
        </w:tc>
        <w:tc>
          <w:tcPr>
            <w:tcW w:w="1153" w:type="dxa"/>
            <w:tcBorders>
              <w:top w:val="nil"/>
              <w:left w:val="nil"/>
              <w:bottom w:val="single" w:sz="4" w:space="0" w:color="auto"/>
              <w:right w:val="single" w:sz="4" w:space="0" w:color="auto"/>
            </w:tcBorders>
            <w:shd w:val="clear" w:color="auto" w:fill="auto"/>
            <w:noWrap/>
            <w:vAlign w:val="bottom"/>
            <w:hideMark/>
          </w:tcPr>
          <w:p w14:paraId="38D740A1" w14:textId="77777777" w:rsidR="004E12B7" w:rsidRPr="00CB1758" w:rsidRDefault="00CE562C" w:rsidP="004E12B7">
            <w:pPr>
              <w:jc w:val="right"/>
              <w:rPr>
                <w:rFonts w:cs="Arial"/>
                <w:color w:val="000000"/>
                <w:sz w:val="20"/>
              </w:rPr>
            </w:pPr>
            <w:r w:rsidRPr="00CB1758">
              <w:rPr>
                <w:rFonts w:cs="Arial"/>
                <w:color w:val="000000"/>
                <w:sz w:val="20"/>
              </w:rPr>
              <w:t>590.0</w:t>
            </w:r>
          </w:p>
        </w:tc>
        <w:tc>
          <w:tcPr>
            <w:tcW w:w="718" w:type="dxa"/>
            <w:tcBorders>
              <w:top w:val="nil"/>
              <w:left w:val="nil"/>
              <w:bottom w:val="single" w:sz="4" w:space="0" w:color="auto"/>
              <w:right w:val="single" w:sz="4" w:space="0" w:color="auto"/>
            </w:tcBorders>
            <w:shd w:val="clear" w:color="auto" w:fill="auto"/>
            <w:noWrap/>
            <w:vAlign w:val="bottom"/>
          </w:tcPr>
          <w:p w14:paraId="34D72161" w14:textId="2B3E5EBC" w:rsidR="004E12B7" w:rsidRPr="00CB1758" w:rsidRDefault="00CE562C" w:rsidP="004E12B7">
            <w:pPr>
              <w:jc w:val="right"/>
              <w:rPr>
                <w:rFonts w:cs="Arial"/>
                <w:color w:val="000000"/>
                <w:sz w:val="20"/>
              </w:rPr>
            </w:pPr>
            <w:r w:rsidRPr="00CB1758">
              <w:rPr>
                <w:rFonts w:cs="Arial"/>
                <w:color w:val="000000"/>
                <w:sz w:val="20"/>
              </w:rPr>
              <w:t>56.</w:t>
            </w:r>
            <w:r w:rsidR="00E241E0">
              <w:rPr>
                <w:rFonts w:cs="Arial"/>
                <w:color w:val="000000"/>
                <w:sz w:val="20"/>
              </w:rPr>
              <w:t>8</w:t>
            </w:r>
          </w:p>
        </w:tc>
        <w:tc>
          <w:tcPr>
            <w:tcW w:w="1138" w:type="dxa"/>
            <w:tcBorders>
              <w:top w:val="nil"/>
              <w:left w:val="nil"/>
              <w:bottom w:val="single" w:sz="4" w:space="0" w:color="auto"/>
              <w:right w:val="single" w:sz="4" w:space="0" w:color="auto"/>
            </w:tcBorders>
            <w:shd w:val="clear" w:color="auto" w:fill="auto"/>
            <w:noWrap/>
            <w:vAlign w:val="bottom"/>
          </w:tcPr>
          <w:p w14:paraId="3C284541" w14:textId="77777777" w:rsidR="004E12B7" w:rsidRPr="00CB1758" w:rsidRDefault="00CE562C" w:rsidP="004E12B7">
            <w:pPr>
              <w:jc w:val="right"/>
              <w:rPr>
                <w:rFonts w:cs="Arial"/>
                <w:color w:val="000000"/>
                <w:sz w:val="20"/>
              </w:rPr>
            </w:pPr>
            <w:r w:rsidRPr="00CB1758">
              <w:rPr>
                <w:rFonts w:cs="Arial"/>
                <w:color w:val="000000"/>
                <w:sz w:val="20"/>
              </w:rPr>
              <w:t>512.5</w:t>
            </w:r>
          </w:p>
        </w:tc>
        <w:tc>
          <w:tcPr>
            <w:tcW w:w="1420" w:type="dxa"/>
            <w:tcBorders>
              <w:top w:val="nil"/>
              <w:left w:val="nil"/>
              <w:bottom w:val="single" w:sz="4" w:space="0" w:color="auto"/>
              <w:right w:val="single" w:sz="4" w:space="0" w:color="auto"/>
            </w:tcBorders>
            <w:shd w:val="clear" w:color="auto" w:fill="auto"/>
            <w:noWrap/>
            <w:vAlign w:val="bottom"/>
          </w:tcPr>
          <w:p w14:paraId="6FF59F3C" w14:textId="77777777" w:rsidR="004E12B7" w:rsidRPr="00CB1758" w:rsidRDefault="00CE562C" w:rsidP="004E12B7">
            <w:pPr>
              <w:jc w:val="right"/>
              <w:rPr>
                <w:rFonts w:cs="Arial"/>
                <w:color w:val="000000"/>
                <w:sz w:val="20"/>
              </w:rPr>
            </w:pPr>
            <w:r w:rsidRPr="00CB1758">
              <w:rPr>
                <w:rFonts w:cs="Arial"/>
                <w:color w:val="000000"/>
                <w:sz w:val="20"/>
              </w:rPr>
              <w:t>(584.0)</w:t>
            </w:r>
          </w:p>
        </w:tc>
        <w:tc>
          <w:tcPr>
            <w:tcW w:w="1134" w:type="dxa"/>
            <w:tcBorders>
              <w:top w:val="nil"/>
              <w:left w:val="nil"/>
              <w:bottom w:val="single" w:sz="4" w:space="0" w:color="auto"/>
              <w:right w:val="single" w:sz="4" w:space="0" w:color="auto"/>
            </w:tcBorders>
            <w:shd w:val="clear" w:color="auto" w:fill="auto"/>
            <w:noWrap/>
            <w:vAlign w:val="bottom"/>
          </w:tcPr>
          <w:p w14:paraId="3CEAABB8" w14:textId="77777777" w:rsidR="004E12B7" w:rsidRPr="00CB1758" w:rsidRDefault="00CE562C" w:rsidP="004E12B7">
            <w:pPr>
              <w:jc w:val="right"/>
              <w:rPr>
                <w:rFonts w:cs="Arial"/>
                <w:color w:val="000000"/>
                <w:sz w:val="20"/>
              </w:rPr>
            </w:pPr>
            <w:r w:rsidRPr="00CB1758">
              <w:rPr>
                <w:rFonts w:cs="Arial"/>
                <w:color w:val="000000"/>
                <w:sz w:val="20"/>
              </w:rPr>
              <w:t>518.5</w:t>
            </w:r>
          </w:p>
        </w:tc>
        <w:tc>
          <w:tcPr>
            <w:tcW w:w="800" w:type="dxa"/>
            <w:tcBorders>
              <w:top w:val="nil"/>
              <w:left w:val="nil"/>
              <w:bottom w:val="single" w:sz="4" w:space="0" w:color="auto"/>
              <w:right w:val="single" w:sz="4" w:space="0" w:color="auto"/>
            </w:tcBorders>
            <w:shd w:val="clear" w:color="auto" w:fill="auto"/>
            <w:noWrap/>
            <w:vAlign w:val="bottom"/>
          </w:tcPr>
          <w:p w14:paraId="11CA937A" w14:textId="574FCAF0" w:rsidR="004E12B7" w:rsidRPr="00CB1758" w:rsidRDefault="00CE562C" w:rsidP="004E12B7">
            <w:pPr>
              <w:jc w:val="right"/>
              <w:rPr>
                <w:rFonts w:cs="Arial"/>
                <w:color w:val="000000"/>
                <w:sz w:val="20"/>
              </w:rPr>
            </w:pPr>
            <w:r w:rsidRPr="00CB1758">
              <w:rPr>
                <w:rFonts w:cs="Arial"/>
                <w:color w:val="000000"/>
                <w:sz w:val="20"/>
              </w:rPr>
              <w:t>54.</w:t>
            </w:r>
            <w:r w:rsidR="009A7BC3">
              <w:rPr>
                <w:rFonts w:cs="Arial"/>
                <w:color w:val="000000"/>
                <w:sz w:val="20"/>
              </w:rPr>
              <w:t>4</w:t>
            </w:r>
          </w:p>
        </w:tc>
      </w:tr>
      <w:tr w:rsidR="00207C08" w14:paraId="6D048E11" w14:textId="77777777" w:rsidTr="00ED1B9D">
        <w:trPr>
          <w:trHeight w:val="129"/>
        </w:trPr>
        <w:tc>
          <w:tcPr>
            <w:tcW w:w="2659" w:type="dxa"/>
            <w:tcBorders>
              <w:top w:val="nil"/>
              <w:left w:val="single" w:sz="4" w:space="0" w:color="auto"/>
              <w:bottom w:val="single" w:sz="4" w:space="0" w:color="auto"/>
              <w:right w:val="single" w:sz="4" w:space="0" w:color="auto"/>
            </w:tcBorders>
            <w:shd w:val="clear" w:color="000000" w:fill="D9E1F2"/>
            <w:noWrap/>
            <w:vAlign w:val="bottom"/>
            <w:hideMark/>
          </w:tcPr>
          <w:p w14:paraId="462870E8" w14:textId="77777777" w:rsidR="004E12B7" w:rsidRPr="00CB1758" w:rsidRDefault="00CE562C" w:rsidP="004E12B7">
            <w:pPr>
              <w:rPr>
                <w:rFonts w:cs="Arial"/>
                <w:b/>
                <w:bCs/>
                <w:color w:val="000000"/>
                <w:sz w:val="20"/>
              </w:rPr>
            </w:pPr>
            <w:r w:rsidRPr="00CB1758">
              <w:rPr>
                <w:rFonts w:cs="Arial"/>
                <w:b/>
                <w:bCs/>
                <w:color w:val="000000"/>
                <w:sz w:val="20"/>
              </w:rPr>
              <w:t>Total Fixed Rate</w:t>
            </w:r>
          </w:p>
        </w:tc>
        <w:tc>
          <w:tcPr>
            <w:tcW w:w="1153" w:type="dxa"/>
            <w:tcBorders>
              <w:top w:val="nil"/>
              <w:left w:val="nil"/>
              <w:bottom w:val="single" w:sz="4" w:space="0" w:color="auto"/>
              <w:right w:val="single" w:sz="4" w:space="0" w:color="auto"/>
            </w:tcBorders>
            <w:shd w:val="clear" w:color="000000" w:fill="D9E1F2"/>
            <w:noWrap/>
            <w:vAlign w:val="bottom"/>
            <w:hideMark/>
          </w:tcPr>
          <w:p w14:paraId="1880431C" w14:textId="77777777" w:rsidR="004E12B7" w:rsidRPr="00CB1758" w:rsidRDefault="00CE562C" w:rsidP="004E12B7">
            <w:pPr>
              <w:jc w:val="right"/>
              <w:rPr>
                <w:rFonts w:cs="Arial"/>
                <w:b/>
                <w:bCs/>
                <w:color w:val="000000"/>
                <w:sz w:val="20"/>
              </w:rPr>
            </w:pPr>
            <w:r w:rsidRPr="00CB1758">
              <w:rPr>
                <w:rFonts w:cs="Arial"/>
                <w:b/>
                <w:bCs/>
                <w:color w:val="000000"/>
                <w:sz w:val="20"/>
              </w:rPr>
              <w:t>803.1</w:t>
            </w:r>
          </w:p>
        </w:tc>
        <w:tc>
          <w:tcPr>
            <w:tcW w:w="718" w:type="dxa"/>
            <w:tcBorders>
              <w:top w:val="nil"/>
              <w:left w:val="nil"/>
              <w:bottom w:val="single" w:sz="4" w:space="0" w:color="auto"/>
              <w:right w:val="single" w:sz="4" w:space="0" w:color="auto"/>
            </w:tcBorders>
            <w:shd w:val="clear" w:color="000000" w:fill="D9E1F2"/>
            <w:noWrap/>
            <w:vAlign w:val="bottom"/>
          </w:tcPr>
          <w:p w14:paraId="0B9B3FF3" w14:textId="12C52D7D" w:rsidR="004E12B7" w:rsidRPr="00CB1758" w:rsidRDefault="00CE562C" w:rsidP="004E12B7">
            <w:pPr>
              <w:jc w:val="right"/>
              <w:rPr>
                <w:rFonts w:cs="Arial"/>
                <w:b/>
                <w:bCs/>
                <w:color w:val="000000"/>
                <w:sz w:val="20"/>
              </w:rPr>
            </w:pPr>
            <w:r>
              <w:rPr>
                <w:rFonts w:cs="Arial"/>
                <w:b/>
                <w:bCs/>
                <w:color w:val="000000"/>
                <w:sz w:val="20"/>
              </w:rPr>
              <w:t>77.</w:t>
            </w:r>
            <w:r w:rsidR="00E241E0">
              <w:rPr>
                <w:rFonts w:cs="Arial"/>
                <w:b/>
                <w:bCs/>
                <w:color w:val="000000"/>
                <w:sz w:val="20"/>
              </w:rPr>
              <w:t>3</w:t>
            </w:r>
          </w:p>
        </w:tc>
        <w:tc>
          <w:tcPr>
            <w:tcW w:w="1138" w:type="dxa"/>
            <w:tcBorders>
              <w:top w:val="nil"/>
              <w:left w:val="nil"/>
              <w:bottom w:val="single" w:sz="4" w:space="0" w:color="auto"/>
              <w:right w:val="single" w:sz="4" w:space="0" w:color="auto"/>
            </w:tcBorders>
            <w:shd w:val="clear" w:color="000000" w:fill="D9E1F2"/>
            <w:noWrap/>
            <w:vAlign w:val="bottom"/>
          </w:tcPr>
          <w:p w14:paraId="5DF0F849" w14:textId="77777777" w:rsidR="004E12B7" w:rsidRPr="00CB1758" w:rsidRDefault="00CE562C" w:rsidP="004E12B7">
            <w:pPr>
              <w:jc w:val="right"/>
              <w:rPr>
                <w:rFonts w:cs="Arial"/>
                <w:b/>
                <w:bCs/>
                <w:color w:val="000000"/>
                <w:sz w:val="20"/>
              </w:rPr>
            </w:pPr>
            <w:r>
              <w:rPr>
                <w:rFonts w:cs="Arial"/>
                <w:b/>
                <w:bCs/>
                <w:color w:val="000000"/>
                <w:sz w:val="20"/>
              </w:rPr>
              <w:t>512.5</w:t>
            </w:r>
          </w:p>
        </w:tc>
        <w:tc>
          <w:tcPr>
            <w:tcW w:w="1420" w:type="dxa"/>
            <w:tcBorders>
              <w:top w:val="nil"/>
              <w:left w:val="nil"/>
              <w:bottom w:val="single" w:sz="4" w:space="0" w:color="auto"/>
              <w:right w:val="single" w:sz="4" w:space="0" w:color="auto"/>
            </w:tcBorders>
            <w:shd w:val="clear" w:color="000000" w:fill="D9E1F2"/>
            <w:noWrap/>
            <w:vAlign w:val="bottom"/>
          </w:tcPr>
          <w:p w14:paraId="0071EC67" w14:textId="77777777" w:rsidR="004E12B7" w:rsidRPr="00CB1758" w:rsidRDefault="00CE562C" w:rsidP="004E12B7">
            <w:pPr>
              <w:jc w:val="right"/>
              <w:rPr>
                <w:rFonts w:cs="Arial"/>
                <w:b/>
                <w:bCs/>
                <w:color w:val="000000"/>
                <w:sz w:val="20"/>
              </w:rPr>
            </w:pPr>
            <w:r>
              <w:rPr>
                <w:rFonts w:cs="Arial"/>
                <w:b/>
                <w:bCs/>
                <w:color w:val="000000"/>
                <w:sz w:val="20"/>
              </w:rPr>
              <w:t>(584.0)</w:t>
            </w:r>
          </w:p>
        </w:tc>
        <w:tc>
          <w:tcPr>
            <w:tcW w:w="1134" w:type="dxa"/>
            <w:tcBorders>
              <w:top w:val="nil"/>
              <w:left w:val="nil"/>
              <w:bottom w:val="single" w:sz="4" w:space="0" w:color="auto"/>
              <w:right w:val="single" w:sz="4" w:space="0" w:color="auto"/>
            </w:tcBorders>
            <w:shd w:val="clear" w:color="000000" w:fill="D9E1F2"/>
            <w:noWrap/>
            <w:vAlign w:val="bottom"/>
          </w:tcPr>
          <w:p w14:paraId="2D86E3C4" w14:textId="77777777" w:rsidR="004E12B7" w:rsidRPr="00CB1758" w:rsidRDefault="00CE562C" w:rsidP="004E12B7">
            <w:pPr>
              <w:jc w:val="right"/>
              <w:rPr>
                <w:rFonts w:cs="Arial"/>
                <w:b/>
                <w:bCs/>
                <w:color w:val="000000"/>
                <w:sz w:val="20"/>
              </w:rPr>
            </w:pPr>
            <w:r w:rsidRPr="00CB1758">
              <w:rPr>
                <w:rFonts w:cs="Arial"/>
                <w:b/>
                <w:bCs/>
                <w:color w:val="000000"/>
                <w:sz w:val="20"/>
              </w:rPr>
              <w:t>731.6</w:t>
            </w:r>
          </w:p>
        </w:tc>
        <w:tc>
          <w:tcPr>
            <w:tcW w:w="800" w:type="dxa"/>
            <w:tcBorders>
              <w:top w:val="nil"/>
              <w:left w:val="nil"/>
              <w:bottom w:val="single" w:sz="4" w:space="0" w:color="auto"/>
              <w:right w:val="single" w:sz="4" w:space="0" w:color="auto"/>
            </w:tcBorders>
            <w:shd w:val="clear" w:color="000000" w:fill="D9E1F2"/>
            <w:noWrap/>
            <w:vAlign w:val="bottom"/>
          </w:tcPr>
          <w:p w14:paraId="2ADCA076" w14:textId="07B112C3" w:rsidR="004E12B7" w:rsidRPr="00CB1758" w:rsidRDefault="00CE562C" w:rsidP="004E12B7">
            <w:pPr>
              <w:jc w:val="right"/>
              <w:rPr>
                <w:rFonts w:cs="Arial"/>
                <w:b/>
                <w:bCs/>
                <w:color w:val="000000"/>
                <w:sz w:val="20"/>
              </w:rPr>
            </w:pPr>
            <w:r>
              <w:rPr>
                <w:rFonts w:cs="Arial"/>
                <w:b/>
                <w:bCs/>
                <w:color w:val="000000"/>
                <w:sz w:val="20"/>
              </w:rPr>
              <w:t>7</w:t>
            </w:r>
            <w:r w:rsidR="009A7BC3">
              <w:rPr>
                <w:rFonts w:cs="Arial"/>
                <w:b/>
                <w:bCs/>
                <w:color w:val="000000"/>
                <w:sz w:val="20"/>
              </w:rPr>
              <w:t>6.8</w:t>
            </w:r>
          </w:p>
        </w:tc>
      </w:tr>
      <w:tr w:rsidR="00207C08" w14:paraId="61DC995C" w14:textId="77777777" w:rsidTr="004E12B7">
        <w:trPr>
          <w:trHeight w:val="300"/>
        </w:trPr>
        <w:tc>
          <w:tcPr>
            <w:tcW w:w="2659" w:type="dxa"/>
            <w:tcBorders>
              <w:top w:val="nil"/>
              <w:left w:val="nil"/>
              <w:bottom w:val="nil"/>
              <w:right w:val="nil"/>
            </w:tcBorders>
            <w:shd w:val="clear" w:color="auto" w:fill="auto"/>
            <w:noWrap/>
            <w:vAlign w:val="bottom"/>
            <w:hideMark/>
          </w:tcPr>
          <w:p w14:paraId="62CB1766" w14:textId="77777777" w:rsidR="004E12B7" w:rsidRPr="00CB1758" w:rsidRDefault="009B446A" w:rsidP="004E12B7">
            <w:pPr>
              <w:rPr>
                <w:rFonts w:cs="Arial"/>
                <w:b/>
                <w:bCs/>
                <w:color w:val="000000"/>
                <w:sz w:val="20"/>
              </w:rPr>
            </w:pPr>
          </w:p>
        </w:tc>
        <w:tc>
          <w:tcPr>
            <w:tcW w:w="1153" w:type="dxa"/>
            <w:tcBorders>
              <w:top w:val="nil"/>
              <w:left w:val="nil"/>
              <w:bottom w:val="nil"/>
              <w:right w:val="nil"/>
            </w:tcBorders>
            <w:shd w:val="clear" w:color="auto" w:fill="auto"/>
            <w:noWrap/>
            <w:vAlign w:val="bottom"/>
            <w:hideMark/>
          </w:tcPr>
          <w:p w14:paraId="244D97F9" w14:textId="77777777" w:rsidR="004E12B7" w:rsidRPr="00CB1758" w:rsidRDefault="009B446A" w:rsidP="004E12B7">
            <w:pPr>
              <w:rPr>
                <w:rFonts w:cs="Arial"/>
                <w:sz w:val="20"/>
              </w:rPr>
            </w:pPr>
          </w:p>
        </w:tc>
        <w:tc>
          <w:tcPr>
            <w:tcW w:w="718" w:type="dxa"/>
            <w:tcBorders>
              <w:top w:val="nil"/>
              <w:left w:val="nil"/>
              <w:bottom w:val="nil"/>
              <w:right w:val="nil"/>
            </w:tcBorders>
            <w:shd w:val="clear" w:color="auto" w:fill="auto"/>
            <w:noWrap/>
            <w:vAlign w:val="bottom"/>
            <w:hideMark/>
          </w:tcPr>
          <w:p w14:paraId="4FCBDEDB" w14:textId="77777777" w:rsidR="004E12B7" w:rsidRPr="00CB1758" w:rsidRDefault="009B446A" w:rsidP="004E12B7">
            <w:pPr>
              <w:rPr>
                <w:rFonts w:cs="Arial"/>
                <w:sz w:val="20"/>
              </w:rPr>
            </w:pPr>
          </w:p>
        </w:tc>
        <w:tc>
          <w:tcPr>
            <w:tcW w:w="1138" w:type="dxa"/>
            <w:tcBorders>
              <w:top w:val="nil"/>
              <w:left w:val="nil"/>
              <w:bottom w:val="nil"/>
              <w:right w:val="nil"/>
            </w:tcBorders>
            <w:shd w:val="clear" w:color="auto" w:fill="auto"/>
            <w:noWrap/>
            <w:vAlign w:val="bottom"/>
            <w:hideMark/>
          </w:tcPr>
          <w:p w14:paraId="5B3168A0" w14:textId="77777777" w:rsidR="004E12B7" w:rsidRPr="00CB1758" w:rsidRDefault="009B446A" w:rsidP="004E12B7">
            <w:pPr>
              <w:rPr>
                <w:rFonts w:cs="Arial"/>
                <w:sz w:val="20"/>
              </w:rPr>
            </w:pPr>
          </w:p>
        </w:tc>
        <w:tc>
          <w:tcPr>
            <w:tcW w:w="1420" w:type="dxa"/>
            <w:tcBorders>
              <w:top w:val="nil"/>
              <w:left w:val="nil"/>
              <w:bottom w:val="nil"/>
              <w:right w:val="nil"/>
            </w:tcBorders>
            <w:shd w:val="clear" w:color="auto" w:fill="auto"/>
            <w:noWrap/>
            <w:vAlign w:val="bottom"/>
            <w:hideMark/>
          </w:tcPr>
          <w:p w14:paraId="11879FA3" w14:textId="77777777" w:rsidR="004E12B7" w:rsidRPr="00CB1758" w:rsidRDefault="009B446A" w:rsidP="004E12B7">
            <w:pPr>
              <w:rPr>
                <w:rFonts w:cs="Arial"/>
                <w:sz w:val="20"/>
              </w:rPr>
            </w:pPr>
          </w:p>
        </w:tc>
        <w:tc>
          <w:tcPr>
            <w:tcW w:w="1134" w:type="dxa"/>
            <w:tcBorders>
              <w:top w:val="nil"/>
              <w:left w:val="nil"/>
              <w:bottom w:val="nil"/>
              <w:right w:val="nil"/>
            </w:tcBorders>
            <w:shd w:val="clear" w:color="auto" w:fill="auto"/>
            <w:noWrap/>
            <w:vAlign w:val="bottom"/>
            <w:hideMark/>
          </w:tcPr>
          <w:p w14:paraId="1B03FE11" w14:textId="77777777" w:rsidR="004E12B7" w:rsidRPr="00CB1758" w:rsidRDefault="009B446A" w:rsidP="004E12B7">
            <w:pPr>
              <w:rPr>
                <w:rFonts w:cs="Arial"/>
                <w:sz w:val="20"/>
              </w:rPr>
            </w:pPr>
          </w:p>
        </w:tc>
        <w:tc>
          <w:tcPr>
            <w:tcW w:w="800" w:type="dxa"/>
            <w:tcBorders>
              <w:top w:val="nil"/>
              <w:left w:val="nil"/>
              <w:bottom w:val="nil"/>
              <w:right w:val="nil"/>
            </w:tcBorders>
            <w:shd w:val="clear" w:color="auto" w:fill="auto"/>
            <w:noWrap/>
            <w:vAlign w:val="bottom"/>
            <w:hideMark/>
          </w:tcPr>
          <w:p w14:paraId="0336A174" w14:textId="77777777" w:rsidR="004E12B7" w:rsidRPr="00CB1758" w:rsidRDefault="009B446A" w:rsidP="004E12B7">
            <w:pPr>
              <w:rPr>
                <w:rFonts w:cs="Arial"/>
                <w:sz w:val="20"/>
              </w:rPr>
            </w:pPr>
          </w:p>
        </w:tc>
      </w:tr>
      <w:tr w:rsidR="00207C08" w14:paraId="5AF18303" w14:textId="77777777" w:rsidTr="004E12B7">
        <w:trPr>
          <w:trHeight w:val="300"/>
        </w:trPr>
        <w:tc>
          <w:tcPr>
            <w:tcW w:w="2659" w:type="dxa"/>
            <w:tcBorders>
              <w:top w:val="nil"/>
              <w:left w:val="nil"/>
              <w:bottom w:val="nil"/>
              <w:right w:val="nil"/>
            </w:tcBorders>
            <w:shd w:val="clear" w:color="auto" w:fill="auto"/>
            <w:noWrap/>
            <w:vAlign w:val="bottom"/>
            <w:hideMark/>
          </w:tcPr>
          <w:p w14:paraId="66F43D6E" w14:textId="77777777" w:rsidR="004E12B7" w:rsidRPr="00CB1758" w:rsidRDefault="00CE562C" w:rsidP="004E12B7">
            <w:pPr>
              <w:rPr>
                <w:rFonts w:cs="Arial"/>
                <w:b/>
                <w:bCs/>
                <w:color w:val="000000"/>
                <w:sz w:val="20"/>
                <w:u w:val="single"/>
              </w:rPr>
            </w:pPr>
            <w:r w:rsidRPr="00CB1758">
              <w:rPr>
                <w:rFonts w:cs="Arial"/>
                <w:b/>
                <w:bCs/>
                <w:color w:val="000000"/>
                <w:sz w:val="20"/>
                <w:u w:val="single"/>
              </w:rPr>
              <w:t>Variable Rate Funding</w:t>
            </w:r>
          </w:p>
        </w:tc>
        <w:tc>
          <w:tcPr>
            <w:tcW w:w="1153" w:type="dxa"/>
            <w:tcBorders>
              <w:top w:val="nil"/>
              <w:left w:val="nil"/>
              <w:bottom w:val="nil"/>
              <w:right w:val="nil"/>
            </w:tcBorders>
            <w:shd w:val="clear" w:color="auto" w:fill="auto"/>
            <w:noWrap/>
            <w:vAlign w:val="bottom"/>
            <w:hideMark/>
          </w:tcPr>
          <w:p w14:paraId="42E5A217" w14:textId="77777777" w:rsidR="004E12B7" w:rsidRPr="00CB1758" w:rsidRDefault="009B446A" w:rsidP="004E12B7">
            <w:pPr>
              <w:rPr>
                <w:rFonts w:cs="Arial"/>
                <w:b/>
                <w:bCs/>
                <w:color w:val="000000"/>
                <w:sz w:val="20"/>
                <w:u w:val="single"/>
              </w:rPr>
            </w:pPr>
          </w:p>
        </w:tc>
        <w:tc>
          <w:tcPr>
            <w:tcW w:w="718" w:type="dxa"/>
            <w:tcBorders>
              <w:top w:val="nil"/>
              <w:left w:val="nil"/>
              <w:bottom w:val="nil"/>
              <w:right w:val="nil"/>
            </w:tcBorders>
            <w:shd w:val="clear" w:color="auto" w:fill="auto"/>
            <w:noWrap/>
            <w:vAlign w:val="bottom"/>
            <w:hideMark/>
          </w:tcPr>
          <w:p w14:paraId="7E88333B" w14:textId="77777777" w:rsidR="004E12B7" w:rsidRPr="00CB1758" w:rsidRDefault="009B446A" w:rsidP="004E12B7">
            <w:pPr>
              <w:rPr>
                <w:rFonts w:cs="Arial"/>
                <w:sz w:val="20"/>
              </w:rPr>
            </w:pPr>
          </w:p>
        </w:tc>
        <w:tc>
          <w:tcPr>
            <w:tcW w:w="1138" w:type="dxa"/>
            <w:tcBorders>
              <w:top w:val="nil"/>
              <w:left w:val="nil"/>
              <w:bottom w:val="nil"/>
              <w:right w:val="nil"/>
            </w:tcBorders>
            <w:shd w:val="clear" w:color="auto" w:fill="auto"/>
            <w:noWrap/>
            <w:vAlign w:val="bottom"/>
            <w:hideMark/>
          </w:tcPr>
          <w:p w14:paraId="4A224755" w14:textId="77777777" w:rsidR="004E12B7" w:rsidRPr="00CB1758" w:rsidRDefault="009B446A" w:rsidP="004E12B7">
            <w:pPr>
              <w:rPr>
                <w:rFonts w:cs="Arial"/>
                <w:sz w:val="20"/>
              </w:rPr>
            </w:pPr>
          </w:p>
        </w:tc>
        <w:tc>
          <w:tcPr>
            <w:tcW w:w="1420" w:type="dxa"/>
            <w:tcBorders>
              <w:top w:val="nil"/>
              <w:left w:val="nil"/>
              <w:bottom w:val="nil"/>
              <w:right w:val="nil"/>
            </w:tcBorders>
            <w:shd w:val="clear" w:color="auto" w:fill="auto"/>
            <w:noWrap/>
            <w:vAlign w:val="bottom"/>
            <w:hideMark/>
          </w:tcPr>
          <w:p w14:paraId="20176D1C" w14:textId="77777777" w:rsidR="004E12B7" w:rsidRPr="00CB1758" w:rsidRDefault="009B446A" w:rsidP="004E12B7">
            <w:pPr>
              <w:rPr>
                <w:rFonts w:cs="Arial"/>
                <w:sz w:val="20"/>
              </w:rPr>
            </w:pPr>
          </w:p>
        </w:tc>
        <w:tc>
          <w:tcPr>
            <w:tcW w:w="1134" w:type="dxa"/>
            <w:tcBorders>
              <w:top w:val="nil"/>
              <w:left w:val="nil"/>
              <w:bottom w:val="nil"/>
              <w:right w:val="nil"/>
            </w:tcBorders>
            <w:shd w:val="clear" w:color="auto" w:fill="auto"/>
            <w:noWrap/>
            <w:vAlign w:val="bottom"/>
            <w:hideMark/>
          </w:tcPr>
          <w:p w14:paraId="3DC18DDC" w14:textId="77777777" w:rsidR="004E12B7" w:rsidRPr="00CB1758" w:rsidRDefault="009B446A" w:rsidP="004E12B7">
            <w:pPr>
              <w:rPr>
                <w:rFonts w:cs="Arial"/>
                <w:sz w:val="20"/>
              </w:rPr>
            </w:pPr>
          </w:p>
        </w:tc>
        <w:tc>
          <w:tcPr>
            <w:tcW w:w="800" w:type="dxa"/>
            <w:tcBorders>
              <w:top w:val="nil"/>
              <w:left w:val="nil"/>
              <w:bottom w:val="nil"/>
              <w:right w:val="nil"/>
            </w:tcBorders>
            <w:shd w:val="clear" w:color="auto" w:fill="auto"/>
            <w:noWrap/>
            <w:vAlign w:val="bottom"/>
            <w:hideMark/>
          </w:tcPr>
          <w:p w14:paraId="456BFDB9" w14:textId="77777777" w:rsidR="004E12B7" w:rsidRPr="00CB1758" w:rsidRDefault="009B446A" w:rsidP="004E12B7">
            <w:pPr>
              <w:rPr>
                <w:rFonts w:cs="Arial"/>
                <w:sz w:val="20"/>
              </w:rPr>
            </w:pPr>
          </w:p>
        </w:tc>
      </w:tr>
      <w:tr w:rsidR="00207C08" w14:paraId="5F4BE8FB" w14:textId="77777777" w:rsidTr="004E12B7">
        <w:trPr>
          <w:trHeight w:val="300"/>
        </w:trPr>
        <w:tc>
          <w:tcPr>
            <w:tcW w:w="2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BFE00" w14:textId="77777777" w:rsidR="004E12B7" w:rsidRPr="00CB1758" w:rsidRDefault="00CE562C" w:rsidP="004E12B7">
            <w:pPr>
              <w:rPr>
                <w:rFonts w:cs="Arial"/>
                <w:color w:val="000000"/>
                <w:sz w:val="20"/>
              </w:rPr>
            </w:pPr>
            <w:r w:rsidRPr="00CB1758">
              <w:rPr>
                <w:rFonts w:cs="Arial"/>
                <w:color w:val="000000"/>
                <w:sz w:val="20"/>
              </w:rPr>
              <w:t>Public Works Loan Board</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14:paraId="5E8C4620" w14:textId="77777777" w:rsidR="004E12B7" w:rsidRPr="00CB1758" w:rsidRDefault="00CE562C" w:rsidP="004E12B7">
            <w:pPr>
              <w:jc w:val="right"/>
              <w:rPr>
                <w:rFonts w:cs="Arial"/>
                <w:color w:val="000000"/>
                <w:sz w:val="20"/>
              </w:rPr>
            </w:pPr>
            <w:r w:rsidRPr="00CB1758">
              <w:rPr>
                <w:rFonts w:cs="Arial"/>
                <w:color w:val="000000"/>
                <w:sz w:val="20"/>
              </w:rPr>
              <w:t>125.7</w:t>
            </w:r>
          </w:p>
        </w:tc>
        <w:tc>
          <w:tcPr>
            <w:tcW w:w="718" w:type="dxa"/>
            <w:tcBorders>
              <w:top w:val="single" w:sz="4" w:space="0" w:color="auto"/>
              <w:left w:val="nil"/>
              <w:bottom w:val="single" w:sz="4" w:space="0" w:color="auto"/>
              <w:right w:val="single" w:sz="4" w:space="0" w:color="auto"/>
            </w:tcBorders>
            <w:shd w:val="clear" w:color="auto" w:fill="auto"/>
            <w:noWrap/>
            <w:vAlign w:val="bottom"/>
            <w:hideMark/>
          </w:tcPr>
          <w:p w14:paraId="466B2AD7" w14:textId="77777777" w:rsidR="004E12B7" w:rsidRPr="00CB1758" w:rsidRDefault="00CE562C" w:rsidP="004E12B7">
            <w:pPr>
              <w:jc w:val="right"/>
              <w:rPr>
                <w:rFonts w:cs="Arial"/>
                <w:color w:val="000000"/>
                <w:sz w:val="20"/>
              </w:rPr>
            </w:pPr>
            <w:r w:rsidRPr="00CB1758">
              <w:rPr>
                <w:rFonts w:cs="Arial"/>
                <w:color w:val="000000"/>
                <w:sz w:val="20"/>
              </w:rPr>
              <w:t>12.</w:t>
            </w:r>
            <w:r>
              <w:rPr>
                <w:rFonts w:cs="Arial"/>
                <w:color w:val="000000"/>
                <w:sz w:val="20"/>
              </w:rPr>
              <w:t>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14:paraId="1857658E" w14:textId="77777777" w:rsidR="004E12B7" w:rsidRPr="00CB1758" w:rsidRDefault="00CE562C" w:rsidP="004E12B7">
            <w:pPr>
              <w:jc w:val="right"/>
              <w:rPr>
                <w:rFonts w:cs="Arial"/>
                <w:color w:val="000000"/>
                <w:sz w:val="20"/>
              </w:rPr>
            </w:pPr>
            <w:r w:rsidRPr="00CB1758">
              <w:rPr>
                <w:rFonts w:cs="Arial"/>
                <w:color w:val="000000"/>
                <w:sz w:val="20"/>
              </w:rPr>
              <w:t>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6BDFBE31" w14:textId="77777777" w:rsidR="004E12B7" w:rsidRPr="00CB1758" w:rsidRDefault="00CE562C" w:rsidP="004E12B7">
            <w:pPr>
              <w:jc w:val="right"/>
              <w:rPr>
                <w:rFonts w:cs="Arial"/>
                <w:color w:val="000000"/>
                <w:sz w:val="20"/>
              </w:rPr>
            </w:pPr>
            <w:r w:rsidRPr="00CB1758">
              <w:rPr>
                <w:rFonts w:cs="Arial"/>
                <w:color w:val="000000"/>
                <w:sz w:val="20"/>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1905431" w14:textId="77777777" w:rsidR="004E12B7" w:rsidRPr="00CB1758" w:rsidRDefault="00CE562C" w:rsidP="004E12B7">
            <w:pPr>
              <w:jc w:val="right"/>
              <w:rPr>
                <w:rFonts w:cs="Arial"/>
                <w:color w:val="000000"/>
                <w:sz w:val="20"/>
              </w:rPr>
            </w:pPr>
            <w:r w:rsidRPr="00CB1758">
              <w:rPr>
                <w:rFonts w:cs="Arial"/>
                <w:color w:val="000000"/>
                <w:sz w:val="20"/>
              </w:rPr>
              <w:t>125.7</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14:paraId="18FA8EFB" w14:textId="77777777" w:rsidR="004E12B7" w:rsidRPr="00CB1758" w:rsidRDefault="00CE562C" w:rsidP="004E12B7">
            <w:pPr>
              <w:jc w:val="right"/>
              <w:rPr>
                <w:rFonts w:cs="Arial"/>
                <w:color w:val="000000"/>
                <w:sz w:val="20"/>
              </w:rPr>
            </w:pPr>
            <w:r w:rsidRPr="00CB1758">
              <w:rPr>
                <w:rFonts w:cs="Arial"/>
                <w:color w:val="000000"/>
                <w:sz w:val="20"/>
              </w:rPr>
              <w:t>13.2</w:t>
            </w:r>
          </w:p>
        </w:tc>
      </w:tr>
      <w:tr w:rsidR="00207C08" w14:paraId="0877A797" w14:textId="77777777" w:rsidTr="004E12B7">
        <w:trPr>
          <w:trHeight w:val="300"/>
        </w:trPr>
        <w:tc>
          <w:tcPr>
            <w:tcW w:w="26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35DA8E" w14:textId="77777777" w:rsidR="004E12B7" w:rsidRPr="00CB1758" w:rsidRDefault="00CE562C" w:rsidP="004E12B7">
            <w:pPr>
              <w:rPr>
                <w:rFonts w:cs="Arial"/>
                <w:color w:val="000000"/>
                <w:sz w:val="20"/>
              </w:rPr>
            </w:pPr>
            <w:r w:rsidRPr="00CB1758">
              <w:rPr>
                <w:rFonts w:cs="Arial"/>
                <w:color w:val="000000"/>
                <w:sz w:val="20"/>
              </w:rPr>
              <w:t>LOBO *</w:t>
            </w:r>
          </w:p>
        </w:tc>
        <w:tc>
          <w:tcPr>
            <w:tcW w:w="1153" w:type="dxa"/>
            <w:tcBorders>
              <w:top w:val="single" w:sz="4" w:space="0" w:color="auto"/>
              <w:left w:val="nil"/>
              <w:bottom w:val="single" w:sz="4" w:space="0" w:color="auto"/>
              <w:right w:val="single" w:sz="4" w:space="0" w:color="auto"/>
            </w:tcBorders>
            <w:shd w:val="clear" w:color="auto" w:fill="auto"/>
            <w:noWrap/>
            <w:vAlign w:val="bottom"/>
          </w:tcPr>
          <w:p w14:paraId="730E7B5C" w14:textId="77777777" w:rsidR="004E12B7" w:rsidRPr="00CB1758" w:rsidRDefault="00CE562C" w:rsidP="004E12B7">
            <w:pPr>
              <w:jc w:val="right"/>
              <w:rPr>
                <w:rFonts w:cs="Arial"/>
                <w:color w:val="000000"/>
                <w:sz w:val="20"/>
              </w:rPr>
            </w:pPr>
            <w:r w:rsidRPr="00CB1758">
              <w:rPr>
                <w:rFonts w:cs="Arial"/>
                <w:color w:val="000000"/>
                <w:sz w:val="20"/>
              </w:rPr>
              <w:t>50.0</w:t>
            </w:r>
          </w:p>
        </w:tc>
        <w:tc>
          <w:tcPr>
            <w:tcW w:w="718" w:type="dxa"/>
            <w:tcBorders>
              <w:top w:val="single" w:sz="4" w:space="0" w:color="auto"/>
              <w:left w:val="nil"/>
              <w:bottom w:val="single" w:sz="4" w:space="0" w:color="auto"/>
              <w:right w:val="single" w:sz="4" w:space="0" w:color="auto"/>
            </w:tcBorders>
            <w:shd w:val="clear" w:color="auto" w:fill="auto"/>
            <w:noWrap/>
            <w:vAlign w:val="bottom"/>
          </w:tcPr>
          <w:p w14:paraId="0D9F6958" w14:textId="77777777" w:rsidR="004E12B7" w:rsidRPr="00CB1758" w:rsidRDefault="00CE562C" w:rsidP="004E12B7">
            <w:pPr>
              <w:jc w:val="right"/>
              <w:rPr>
                <w:rFonts w:cs="Arial"/>
                <w:color w:val="000000"/>
                <w:sz w:val="20"/>
              </w:rPr>
            </w:pPr>
            <w:r w:rsidRPr="00CB1758">
              <w:rPr>
                <w:rFonts w:cs="Arial"/>
                <w:color w:val="000000"/>
                <w:sz w:val="20"/>
              </w:rPr>
              <w:t>4.8</w:t>
            </w:r>
          </w:p>
        </w:tc>
        <w:tc>
          <w:tcPr>
            <w:tcW w:w="1138" w:type="dxa"/>
            <w:tcBorders>
              <w:top w:val="single" w:sz="4" w:space="0" w:color="auto"/>
              <w:left w:val="nil"/>
              <w:bottom w:val="single" w:sz="4" w:space="0" w:color="auto"/>
              <w:right w:val="single" w:sz="4" w:space="0" w:color="auto"/>
            </w:tcBorders>
            <w:shd w:val="clear" w:color="auto" w:fill="auto"/>
            <w:noWrap/>
            <w:vAlign w:val="bottom"/>
          </w:tcPr>
          <w:p w14:paraId="3798FE41" w14:textId="77777777" w:rsidR="004E12B7" w:rsidRPr="00CB1758" w:rsidRDefault="00CE562C" w:rsidP="004E12B7">
            <w:pPr>
              <w:jc w:val="right"/>
              <w:rPr>
                <w:rFonts w:cs="Arial"/>
                <w:color w:val="000000"/>
                <w:sz w:val="20"/>
              </w:rPr>
            </w:pPr>
            <w:r w:rsidRPr="00CB1758">
              <w:rPr>
                <w:rFonts w:cs="Arial"/>
                <w:color w:val="000000"/>
                <w:sz w:val="20"/>
              </w:rPr>
              <w:t>0</w:t>
            </w: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035EE0AE" w14:textId="77777777" w:rsidR="004E12B7" w:rsidRPr="00CB1758" w:rsidRDefault="00CE562C" w:rsidP="004E12B7">
            <w:pPr>
              <w:jc w:val="right"/>
              <w:rPr>
                <w:rFonts w:cs="Arial"/>
                <w:color w:val="000000"/>
                <w:sz w:val="20"/>
              </w:rPr>
            </w:pPr>
            <w:r w:rsidRPr="00CB1758">
              <w:rPr>
                <w:rFonts w:cs="Arial"/>
                <w:color w:val="000000"/>
                <w:sz w:val="20"/>
              </w:rPr>
              <w:t>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9DE1740" w14:textId="77777777" w:rsidR="004E12B7" w:rsidRPr="00CB1758" w:rsidRDefault="00CE562C" w:rsidP="004E12B7">
            <w:pPr>
              <w:jc w:val="right"/>
              <w:rPr>
                <w:rFonts w:cs="Arial"/>
                <w:color w:val="000000"/>
                <w:sz w:val="20"/>
              </w:rPr>
            </w:pPr>
            <w:r w:rsidRPr="00CB1758">
              <w:rPr>
                <w:rFonts w:cs="Arial"/>
                <w:color w:val="000000"/>
                <w:sz w:val="20"/>
              </w:rPr>
              <w:t>50.0</w:t>
            </w:r>
          </w:p>
        </w:tc>
        <w:tc>
          <w:tcPr>
            <w:tcW w:w="800" w:type="dxa"/>
            <w:tcBorders>
              <w:top w:val="single" w:sz="4" w:space="0" w:color="auto"/>
              <w:left w:val="nil"/>
              <w:bottom w:val="single" w:sz="4" w:space="0" w:color="auto"/>
              <w:right w:val="single" w:sz="4" w:space="0" w:color="auto"/>
            </w:tcBorders>
            <w:shd w:val="clear" w:color="auto" w:fill="auto"/>
            <w:noWrap/>
            <w:vAlign w:val="bottom"/>
          </w:tcPr>
          <w:p w14:paraId="082EDA41" w14:textId="301DA0A5" w:rsidR="004E12B7" w:rsidRPr="00CB1758" w:rsidRDefault="00CE562C" w:rsidP="004E12B7">
            <w:pPr>
              <w:jc w:val="right"/>
              <w:rPr>
                <w:rFonts w:cs="Arial"/>
                <w:color w:val="000000"/>
                <w:sz w:val="20"/>
              </w:rPr>
            </w:pPr>
            <w:r w:rsidRPr="00CB1758">
              <w:rPr>
                <w:rFonts w:cs="Arial"/>
                <w:color w:val="000000"/>
                <w:sz w:val="20"/>
              </w:rPr>
              <w:t>5.</w:t>
            </w:r>
            <w:r w:rsidR="009A7BC3">
              <w:rPr>
                <w:rFonts w:cs="Arial"/>
                <w:color w:val="000000"/>
                <w:sz w:val="20"/>
              </w:rPr>
              <w:t>3</w:t>
            </w:r>
          </w:p>
        </w:tc>
      </w:tr>
      <w:tr w:rsidR="00207C08" w14:paraId="2D0EDCAB" w14:textId="77777777" w:rsidTr="004E12B7">
        <w:trPr>
          <w:trHeight w:val="300"/>
        </w:trPr>
        <w:tc>
          <w:tcPr>
            <w:tcW w:w="2659" w:type="dxa"/>
            <w:tcBorders>
              <w:top w:val="nil"/>
              <w:left w:val="single" w:sz="4" w:space="0" w:color="auto"/>
              <w:bottom w:val="single" w:sz="4" w:space="0" w:color="auto"/>
              <w:right w:val="single" w:sz="4" w:space="0" w:color="auto"/>
            </w:tcBorders>
            <w:shd w:val="clear" w:color="auto" w:fill="auto"/>
            <w:noWrap/>
            <w:vAlign w:val="bottom"/>
            <w:hideMark/>
          </w:tcPr>
          <w:p w14:paraId="7164F344" w14:textId="77777777" w:rsidR="004E12B7" w:rsidRPr="00CB1758" w:rsidRDefault="00CE562C" w:rsidP="004E12B7">
            <w:pPr>
              <w:rPr>
                <w:rFonts w:cs="Arial"/>
                <w:color w:val="000000"/>
                <w:sz w:val="20"/>
              </w:rPr>
            </w:pPr>
            <w:r w:rsidRPr="00CB1758">
              <w:rPr>
                <w:rFonts w:cs="Arial"/>
                <w:color w:val="000000"/>
                <w:sz w:val="20"/>
              </w:rPr>
              <w:t>Shared Investment Scheme</w:t>
            </w:r>
          </w:p>
        </w:tc>
        <w:tc>
          <w:tcPr>
            <w:tcW w:w="1153" w:type="dxa"/>
            <w:tcBorders>
              <w:top w:val="nil"/>
              <w:left w:val="nil"/>
              <w:bottom w:val="single" w:sz="4" w:space="0" w:color="auto"/>
              <w:right w:val="single" w:sz="4" w:space="0" w:color="auto"/>
            </w:tcBorders>
            <w:shd w:val="clear" w:color="auto" w:fill="auto"/>
            <w:noWrap/>
            <w:vAlign w:val="bottom"/>
            <w:hideMark/>
          </w:tcPr>
          <w:p w14:paraId="48D5665F" w14:textId="77777777" w:rsidR="004E12B7" w:rsidRPr="00CB1758" w:rsidRDefault="00CE562C" w:rsidP="004E12B7">
            <w:pPr>
              <w:jc w:val="right"/>
              <w:rPr>
                <w:rFonts w:cs="Arial"/>
                <w:color w:val="000000"/>
                <w:sz w:val="20"/>
              </w:rPr>
            </w:pPr>
            <w:r w:rsidRPr="00CB1758">
              <w:rPr>
                <w:rFonts w:cs="Arial"/>
                <w:color w:val="000000"/>
                <w:sz w:val="20"/>
              </w:rPr>
              <w:t>60.8</w:t>
            </w:r>
          </w:p>
        </w:tc>
        <w:tc>
          <w:tcPr>
            <w:tcW w:w="718" w:type="dxa"/>
            <w:tcBorders>
              <w:top w:val="nil"/>
              <w:left w:val="nil"/>
              <w:bottom w:val="single" w:sz="4" w:space="0" w:color="auto"/>
              <w:right w:val="single" w:sz="4" w:space="0" w:color="auto"/>
            </w:tcBorders>
            <w:shd w:val="clear" w:color="auto" w:fill="auto"/>
            <w:noWrap/>
            <w:vAlign w:val="bottom"/>
            <w:hideMark/>
          </w:tcPr>
          <w:p w14:paraId="3DC52F4A" w14:textId="708BBE8A" w:rsidR="004E12B7" w:rsidRPr="00CB1758" w:rsidRDefault="00CE562C" w:rsidP="004E12B7">
            <w:pPr>
              <w:jc w:val="right"/>
              <w:rPr>
                <w:rFonts w:cs="Arial"/>
                <w:color w:val="000000"/>
                <w:sz w:val="20"/>
              </w:rPr>
            </w:pPr>
            <w:r>
              <w:rPr>
                <w:rFonts w:cs="Arial"/>
                <w:color w:val="000000"/>
                <w:sz w:val="20"/>
              </w:rPr>
              <w:t>5.</w:t>
            </w:r>
            <w:r w:rsidR="00E241E0">
              <w:rPr>
                <w:rFonts w:cs="Arial"/>
                <w:color w:val="000000"/>
                <w:sz w:val="20"/>
              </w:rPr>
              <w:t>8</w:t>
            </w:r>
          </w:p>
        </w:tc>
        <w:tc>
          <w:tcPr>
            <w:tcW w:w="1138" w:type="dxa"/>
            <w:tcBorders>
              <w:top w:val="nil"/>
              <w:left w:val="nil"/>
              <w:bottom w:val="single" w:sz="4" w:space="0" w:color="auto"/>
              <w:right w:val="single" w:sz="4" w:space="0" w:color="auto"/>
            </w:tcBorders>
            <w:shd w:val="clear" w:color="auto" w:fill="auto"/>
            <w:noWrap/>
            <w:vAlign w:val="bottom"/>
          </w:tcPr>
          <w:p w14:paraId="50B40F7C" w14:textId="77777777" w:rsidR="004E12B7" w:rsidRPr="00CB1758" w:rsidRDefault="00CE562C" w:rsidP="004E12B7">
            <w:pPr>
              <w:jc w:val="right"/>
              <w:rPr>
                <w:rFonts w:cs="Arial"/>
                <w:color w:val="000000"/>
                <w:sz w:val="20"/>
              </w:rPr>
            </w:pPr>
            <w:r w:rsidRPr="00CB1758">
              <w:rPr>
                <w:rFonts w:cs="Arial"/>
                <w:color w:val="000000"/>
                <w:sz w:val="20"/>
              </w:rPr>
              <w:t>496.9</w:t>
            </w:r>
          </w:p>
        </w:tc>
        <w:tc>
          <w:tcPr>
            <w:tcW w:w="1420" w:type="dxa"/>
            <w:tcBorders>
              <w:top w:val="nil"/>
              <w:left w:val="nil"/>
              <w:bottom w:val="single" w:sz="4" w:space="0" w:color="auto"/>
              <w:right w:val="single" w:sz="4" w:space="0" w:color="auto"/>
            </w:tcBorders>
            <w:shd w:val="clear" w:color="auto" w:fill="auto"/>
            <w:noWrap/>
            <w:vAlign w:val="bottom"/>
          </w:tcPr>
          <w:p w14:paraId="26C2ED94" w14:textId="77777777" w:rsidR="004E12B7" w:rsidRPr="00CB1758" w:rsidRDefault="00CE562C" w:rsidP="004E12B7">
            <w:pPr>
              <w:jc w:val="right"/>
              <w:rPr>
                <w:rFonts w:cs="Arial"/>
                <w:color w:val="000000"/>
                <w:sz w:val="20"/>
              </w:rPr>
            </w:pPr>
            <w:r w:rsidRPr="00CB1758">
              <w:rPr>
                <w:rFonts w:cs="Arial"/>
                <w:color w:val="000000"/>
                <w:sz w:val="20"/>
              </w:rPr>
              <w:t>(512.5)</w:t>
            </w:r>
          </w:p>
        </w:tc>
        <w:tc>
          <w:tcPr>
            <w:tcW w:w="1134" w:type="dxa"/>
            <w:tcBorders>
              <w:top w:val="nil"/>
              <w:left w:val="nil"/>
              <w:bottom w:val="single" w:sz="4" w:space="0" w:color="auto"/>
              <w:right w:val="single" w:sz="4" w:space="0" w:color="auto"/>
            </w:tcBorders>
            <w:shd w:val="clear" w:color="auto" w:fill="auto"/>
            <w:noWrap/>
            <w:vAlign w:val="bottom"/>
          </w:tcPr>
          <w:p w14:paraId="1F20FEF7" w14:textId="1B07FEAD" w:rsidR="004E12B7" w:rsidRPr="00CB1758" w:rsidRDefault="00CE562C" w:rsidP="004E12B7">
            <w:pPr>
              <w:jc w:val="right"/>
              <w:rPr>
                <w:rFonts w:cs="Arial"/>
                <w:color w:val="000000"/>
                <w:sz w:val="20"/>
              </w:rPr>
            </w:pPr>
            <w:r w:rsidRPr="00CB1758">
              <w:rPr>
                <w:rFonts w:cs="Arial"/>
                <w:color w:val="000000"/>
                <w:sz w:val="20"/>
              </w:rPr>
              <w:t>4</w:t>
            </w:r>
            <w:r w:rsidR="009A7BC3">
              <w:rPr>
                <w:rFonts w:cs="Arial"/>
                <w:color w:val="000000"/>
                <w:sz w:val="20"/>
              </w:rPr>
              <w:t>5.2</w:t>
            </w:r>
          </w:p>
        </w:tc>
        <w:tc>
          <w:tcPr>
            <w:tcW w:w="800" w:type="dxa"/>
            <w:tcBorders>
              <w:top w:val="nil"/>
              <w:left w:val="nil"/>
              <w:bottom w:val="single" w:sz="4" w:space="0" w:color="auto"/>
              <w:right w:val="single" w:sz="4" w:space="0" w:color="auto"/>
            </w:tcBorders>
            <w:shd w:val="clear" w:color="auto" w:fill="auto"/>
            <w:noWrap/>
            <w:vAlign w:val="bottom"/>
          </w:tcPr>
          <w:p w14:paraId="4FE2060C" w14:textId="56D3E910" w:rsidR="004E12B7" w:rsidRPr="00CB1758" w:rsidRDefault="00CE562C" w:rsidP="004E12B7">
            <w:pPr>
              <w:jc w:val="right"/>
              <w:rPr>
                <w:rFonts w:cs="Arial"/>
                <w:color w:val="000000"/>
                <w:sz w:val="20"/>
              </w:rPr>
            </w:pPr>
            <w:r w:rsidRPr="00CB1758">
              <w:rPr>
                <w:rFonts w:cs="Arial"/>
                <w:color w:val="000000"/>
                <w:sz w:val="20"/>
              </w:rPr>
              <w:t>4.</w:t>
            </w:r>
            <w:r w:rsidR="009A7BC3">
              <w:rPr>
                <w:rFonts w:cs="Arial"/>
                <w:color w:val="000000"/>
                <w:sz w:val="20"/>
              </w:rPr>
              <w:t>7</w:t>
            </w:r>
          </w:p>
        </w:tc>
      </w:tr>
      <w:tr w:rsidR="00207C08" w14:paraId="7B25AFA6" w14:textId="77777777" w:rsidTr="00ED1B9D">
        <w:trPr>
          <w:trHeight w:val="185"/>
        </w:trPr>
        <w:tc>
          <w:tcPr>
            <w:tcW w:w="2659" w:type="dxa"/>
            <w:tcBorders>
              <w:top w:val="nil"/>
              <w:left w:val="single" w:sz="4" w:space="0" w:color="auto"/>
              <w:bottom w:val="single" w:sz="4" w:space="0" w:color="auto"/>
              <w:right w:val="single" w:sz="4" w:space="0" w:color="auto"/>
            </w:tcBorders>
            <w:shd w:val="clear" w:color="000000" w:fill="D9E1F2"/>
            <w:noWrap/>
            <w:vAlign w:val="bottom"/>
            <w:hideMark/>
          </w:tcPr>
          <w:p w14:paraId="2E344B96" w14:textId="77777777" w:rsidR="004E12B7" w:rsidRPr="00CB1758" w:rsidRDefault="00CE562C" w:rsidP="004E12B7">
            <w:pPr>
              <w:rPr>
                <w:rFonts w:cs="Arial"/>
                <w:b/>
                <w:bCs/>
                <w:color w:val="000000"/>
                <w:sz w:val="20"/>
              </w:rPr>
            </w:pPr>
            <w:r w:rsidRPr="00CB1758">
              <w:rPr>
                <w:rFonts w:cs="Arial"/>
                <w:b/>
                <w:bCs/>
                <w:color w:val="000000"/>
                <w:sz w:val="20"/>
              </w:rPr>
              <w:t>Total Variable Rate</w:t>
            </w:r>
          </w:p>
        </w:tc>
        <w:tc>
          <w:tcPr>
            <w:tcW w:w="1153" w:type="dxa"/>
            <w:tcBorders>
              <w:top w:val="nil"/>
              <w:left w:val="nil"/>
              <w:bottom w:val="single" w:sz="4" w:space="0" w:color="auto"/>
              <w:right w:val="single" w:sz="4" w:space="0" w:color="auto"/>
            </w:tcBorders>
            <w:shd w:val="clear" w:color="000000" w:fill="D9E1F2"/>
            <w:noWrap/>
            <w:vAlign w:val="bottom"/>
            <w:hideMark/>
          </w:tcPr>
          <w:p w14:paraId="27448D90" w14:textId="77777777" w:rsidR="004E12B7" w:rsidRPr="00CB1758" w:rsidRDefault="00CE562C" w:rsidP="004E12B7">
            <w:pPr>
              <w:jc w:val="right"/>
              <w:rPr>
                <w:rFonts w:cs="Arial"/>
                <w:b/>
                <w:bCs/>
                <w:color w:val="000000"/>
                <w:sz w:val="20"/>
              </w:rPr>
            </w:pPr>
            <w:r w:rsidRPr="00CB1758">
              <w:rPr>
                <w:rFonts w:cs="Arial"/>
                <w:b/>
                <w:bCs/>
                <w:color w:val="000000"/>
                <w:sz w:val="20"/>
              </w:rPr>
              <w:t>236.5</w:t>
            </w:r>
          </w:p>
        </w:tc>
        <w:tc>
          <w:tcPr>
            <w:tcW w:w="718" w:type="dxa"/>
            <w:tcBorders>
              <w:top w:val="nil"/>
              <w:left w:val="nil"/>
              <w:bottom w:val="single" w:sz="4" w:space="0" w:color="auto"/>
              <w:right w:val="single" w:sz="4" w:space="0" w:color="auto"/>
            </w:tcBorders>
            <w:shd w:val="clear" w:color="000000" w:fill="D9E1F2"/>
            <w:noWrap/>
            <w:vAlign w:val="bottom"/>
            <w:hideMark/>
          </w:tcPr>
          <w:p w14:paraId="0BF79F83" w14:textId="77777777" w:rsidR="004E12B7" w:rsidRPr="00CB1758" w:rsidRDefault="00CE562C" w:rsidP="004E12B7">
            <w:pPr>
              <w:jc w:val="right"/>
              <w:rPr>
                <w:rFonts w:cs="Arial"/>
                <w:b/>
                <w:bCs/>
                <w:color w:val="000000"/>
                <w:sz w:val="20"/>
              </w:rPr>
            </w:pPr>
            <w:r w:rsidRPr="00CB1758">
              <w:rPr>
                <w:rFonts w:cs="Arial"/>
                <w:b/>
                <w:bCs/>
                <w:color w:val="000000"/>
                <w:sz w:val="20"/>
              </w:rPr>
              <w:t> </w:t>
            </w:r>
            <w:r>
              <w:rPr>
                <w:rFonts w:cs="Arial"/>
                <w:b/>
                <w:bCs/>
                <w:color w:val="000000"/>
                <w:sz w:val="20"/>
              </w:rPr>
              <w:t>22.7</w:t>
            </w:r>
          </w:p>
        </w:tc>
        <w:tc>
          <w:tcPr>
            <w:tcW w:w="1138" w:type="dxa"/>
            <w:tcBorders>
              <w:top w:val="nil"/>
              <w:left w:val="nil"/>
              <w:bottom w:val="single" w:sz="4" w:space="0" w:color="auto"/>
              <w:right w:val="single" w:sz="4" w:space="0" w:color="auto"/>
            </w:tcBorders>
            <w:shd w:val="clear" w:color="000000" w:fill="D9E1F2"/>
            <w:noWrap/>
            <w:vAlign w:val="bottom"/>
          </w:tcPr>
          <w:p w14:paraId="35AF2208" w14:textId="77777777" w:rsidR="004E12B7" w:rsidRPr="00CB1758" w:rsidRDefault="00CE562C" w:rsidP="004E12B7">
            <w:pPr>
              <w:jc w:val="right"/>
              <w:rPr>
                <w:rFonts w:cs="Arial"/>
                <w:b/>
                <w:bCs/>
                <w:color w:val="000000"/>
                <w:sz w:val="20"/>
              </w:rPr>
            </w:pPr>
            <w:r>
              <w:rPr>
                <w:rFonts w:cs="Arial"/>
                <w:b/>
                <w:bCs/>
                <w:color w:val="000000"/>
                <w:sz w:val="20"/>
              </w:rPr>
              <w:t>496.9</w:t>
            </w:r>
          </w:p>
        </w:tc>
        <w:tc>
          <w:tcPr>
            <w:tcW w:w="1420" w:type="dxa"/>
            <w:tcBorders>
              <w:top w:val="nil"/>
              <w:left w:val="nil"/>
              <w:bottom w:val="single" w:sz="4" w:space="0" w:color="auto"/>
              <w:right w:val="single" w:sz="4" w:space="0" w:color="auto"/>
            </w:tcBorders>
            <w:shd w:val="clear" w:color="000000" w:fill="D9E1F2"/>
            <w:noWrap/>
            <w:vAlign w:val="bottom"/>
          </w:tcPr>
          <w:p w14:paraId="1AB964A6" w14:textId="77777777" w:rsidR="004E12B7" w:rsidRPr="00CB1758" w:rsidRDefault="00CE562C" w:rsidP="004E12B7">
            <w:pPr>
              <w:jc w:val="right"/>
              <w:rPr>
                <w:rFonts w:cs="Arial"/>
                <w:b/>
                <w:bCs/>
                <w:color w:val="000000"/>
                <w:sz w:val="20"/>
              </w:rPr>
            </w:pPr>
            <w:r>
              <w:rPr>
                <w:rFonts w:cs="Arial"/>
                <w:b/>
                <w:bCs/>
                <w:color w:val="000000"/>
                <w:sz w:val="20"/>
              </w:rPr>
              <w:t>(512.5)</w:t>
            </w:r>
          </w:p>
        </w:tc>
        <w:tc>
          <w:tcPr>
            <w:tcW w:w="1134" w:type="dxa"/>
            <w:tcBorders>
              <w:top w:val="nil"/>
              <w:left w:val="nil"/>
              <w:bottom w:val="single" w:sz="4" w:space="0" w:color="auto"/>
              <w:right w:val="single" w:sz="4" w:space="0" w:color="auto"/>
            </w:tcBorders>
            <w:shd w:val="clear" w:color="000000" w:fill="D9E1F2"/>
            <w:noWrap/>
            <w:vAlign w:val="bottom"/>
          </w:tcPr>
          <w:p w14:paraId="555702AE" w14:textId="63018DD6" w:rsidR="004E12B7" w:rsidRPr="00CB1758" w:rsidRDefault="00CE562C" w:rsidP="004E12B7">
            <w:pPr>
              <w:jc w:val="right"/>
              <w:rPr>
                <w:rFonts w:cs="Arial"/>
                <w:b/>
                <w:bCs/>
                <w:color w:val="000000"/>
                <w:sz w:val="20"/>
              </w:rPr>
            </w:pPr>
            <w:r w:rsidRPr="00CB1758">
              <w:rPr>
                <w:rFonts w:cs="Arial"/>
                <w:b/>
                <w:bCs/>
                <w:color w:val="000000"/>
                <w:sz w:val="20"/>
              </w:rPr>
              <w:t>2</w:t>
            </w:r>
            <w:r w:rsidR="009A7BC3">
              <w:rPr>
                <w:rFonts w:cs="Arial"/>
                <w:b/>
                <w:bCs/>
                <w:color w:val="000000"/>
                <w:sz w:val="20"/>
              </w:rPr>
              <w:t>20.9</w:t>
            </w:r>
          </w:p>
        </w:tc>
        <w:tc>
          <w:tcPr>
            <w:tcW w:w="800" w:type="dxa"/>
            <w:tcBorders>
              <w:top w:val="nil"/>
              <w:left w:val="nil"/>
              <w:bottom w:val="single" w:sz="4" w:space="0" w:color="auto"/>
              <w:right w:val="single" w:sz="4" w:space="0" w:color="auto"/>
            </w:tcBorders>
            <w:shd w:val="clear" w:color="000000" w:fill="D9E1F2"/>
            <w:noWrap/>
            <w:vAlign w:val="bottom"/>
            <w:hideMark/>
          </w:tcPr>
          <w:p w14:paraId="060EA6E7" w14:textId="1B9BFDA7" w:rsidR="004E12B7" w:rsidRPr="00CB1758" w:rsidRDefault="00CE562C" w:rsidP="009A7BC3">
            <w:pPr>
              <w:jc w:val="right"/>
              <w:rPr>
                <w:rFonts w:cs="Arial"/>
                <w:b/>
                <w:bCs/>
                <w:color w:val="000000"/>
                <w:sz w:val="20"/>
              </w:rPr>
            </w:pPr>
            <w:r w:rsidRPr="00CB1758">
              <w:rPr>
                <w:rFonts w:cs="Arial"/>
                <w:b/>
                <w:bCs/>
                <w:color w:val="000000"/>
                <w:sz w:val="20"/>
              </w:rPr>
              <w:t> </w:t>
            </w:r>
            <w:r>
              <w:rPr>
                <w:rFonts w:cs="Arial"/>
                <w:b/>
                <w:bCs/>
                <w:color w:val="000000"/>
                <w:sz w:val="20"/>
              </w:rPr>
              <w:t>23.</w:t>
            </w:r>
            <w:r w:rsidR="009A7BC3">
              <w:rPr>
                <w:rFonts w:cs="Arial"/>
                <w:b/>
                <w:bCs/>
                <w:color w:val="000000"/>
                <w:sz w:val="20"/>
              </w:rPr>
              <w:t>2</w:t>
            </w:r>
          </w:p>
        </w:tc>
      </w:tr>
      <w:tr w:rsidR="00207C08" w14:paraId="1CCE7207" w14:textId="77777777" w:rsidTr="004E12B7">
        <w:trPr>
          <w:trHeight w:val="300"/>
        </w:trPr>
        <w:tc>
          <w:tcPr>
            <w:tcW w:w="2659" w:type="dxa"/>
            <w:tcBorders>
              <w:top w:val="nil"/>
              <w:left w:val="nil"/>
              <w:bottom w:val="nil"/>
              <w:right w:val="nil"/>
            </w:tcBorders>
            <w:shd w:val="clear" w:color="auto" w:fill="auto"/>
            <w:noWrap/>
            <w:vAlign w:val="bottom"/>
            <w:hideMark/>
          </w:tcPr>
          <w:p w14:paraId="6FD07B4C" w14:textId="77777777" w:rsidR="004E12B7" w:rsidRPr="00ED1B9D" w:rsidRDefault="009B446A" w:rsidP="004E12B7">
            <w:pPr>
              <w:rPr>
                <w:rFonts w:cs="Arial"/>
                <w:b/>
                <w:bCs/>
                <w:color w:val="000000"/>
                <w:sz w:val="16"/>
                <w:szCs w:val="16"/>
              </w:rPr>
            </w:pPr>
          </w:p>
        </w:tc>
        <w:tc>
          <w:tcPr>
            <w:tcW w:w="1153" w:type="dxa"/>
            <w:tcBorders>
              <w:top w:val="nil"/>
              <w:left w:val="nil"/>
              <w:bottom w:val="nil"/>
              <w:right w:val="nil"/>
            </w:tcBorders>
            <w:shd w:val="clear" w:color="auto" w:fill="auto"/>
            <w:noWrap/>
            <w:vAlign w:val="bottom"/>
            <w:hideMark/>
          </w:tcPr>
          <w:p w14:paraId="2C170686" w14:textId="77777777" w:rsidR="004E12B7" w:rsidRPr="00CB1758" w:rsidRDefault="009B446A" w:rsidP="004E12B7">
            <w:pPr>
              <w:rPr>
                <w:rFonts w:cs="Arial"/>
                <w:sz w:val="20"/>
              </w:rPr>
            </w:pPr>
          </w:p>
        </w:tc>
        <w:tc>
          <w:tcPr>
            <w:tcW w:w="718" w:type="dxa"/>
            <w:tcBorders>
              <w:top w:val="nil"/>
              <w:left w:val="nil"/>
              <w:bottom w:val="nil"/>
              <w:right w:val="nil"/>
            </w:tcBorders>
            <w:shd w:val="clear" w:color="auto" w:fill="auto"/>
            <w:noWrap/>
            <w:vAlign w:val="bottom"/>
            <w:hideMark/>
          </w:tcPr>
          <w:p w14:paraId="0A621C86" w14:textId="77777777" w:rsidR="004E12B7" w:rsidRPr="00CB1758" w:rsidRDefault="009B446A" w:rsidP="004E12B7">
            <w:pPr>
              <w:rPr>
                <w:rFonts w:cs="Arial"/>
                <w:sz w:val="20"/>
              </w:rPr>
            </w:pPr>
          </w:p>
        </w:tc>
        <w:tc>
          <w:tcPr>
            <w:tcW w:w="1138" w:type="dxa"/>
            <w:tcBorders>
              <w:top w:val="nil"/>
              <w:left w:val="nil"/>
              <w:bottom w:val="nil"/>
              <w:right w:val="nil"/>
            </w:tcBorders>
            <w:shd w:val="clear" w:color="auto" w:fill="auto"/>
            <w:noWrap/>
            <w:vAlign w:val="bottom"/>
          </w:tcPr>
          <w:p w14:paraId="70ECEBFC" w14:textId="77777777" w:rsidR="004E12B7" w:rsidRPr="00CB1758" w:rsidRDefault="009B446A" w:rsidP="004E12B7">
            <w:pPr>
              <w:rPr>
                <w:rFonts w:cs="Arial"/>
                <w:sz w:val="20"/>
              </w:rPr>
            </w:pPr>
          </w:p>
        </w:tc>
        <w:tc>
          <w:tcPr>
            <w:tcW w:w="1420" w:type="dxa"/>
            <w:tcBorders>
              <w:top w:val="nil"/>
              <w:left w:val="nil"/>
              <w:bottom w:val="nil"/>
              <w:right w:val="nil"/>
            </w:tcBorders>
            <w:shd w:val="clear" w:color="auto" w:fill="auto"/>
            <w:noWrap/>
            <w:vAlign w:val="bottom"/>
          </w:tcPr>
          <w:p w14:paraId="4C26224D" w14:textId="77777777" w:rsidR="004E12B7" w:rsidRPr="00CB1758" w:rsidRDefault="009B446A" w:rsidP="004E12B7">
            <w:pPr>
              <w:rPr>
                <w:rFonts w:cs="Arial"/>
                <w:sz w:val="20"/>
              </w:rPr>
            </w:pPr>
          </w:p>
        </w:tc>
        <w:tc>
          <w:tcPr>
            <w:tcW w:w="1134" w:type="dxa"/>
            <w:tcBorders>
              <w:top w:val="nil"/>
              <w:left w:val="nil"/>
              <w:bottom w:val="nil"/>
              <w:right w:val="nil"/>
            </w:tcBorders>
            <w:shd w:val="clear" w:color="auto" w:fill="auto"/>
            <w:noWrap/>
            <w:vAlign w:val="bottom"/>
          </w:tcPr>
          <w:p w14:paraId="6DFEB245" w14:textId="77777777" w:rsidR="004E12B7" w:rsidRPr="00CB1758" w:rsidRDefault="009B446A" w:rsidP="004E12B7">
            <w:pPr>
              <w:rPr>
                <w:rFonts w:cs="Arial"/>
                <w:sz w:val="20"/>
              </w:rPr>
            </w:pPr>
          </w:p>
        </w:tc>
        <w:tc>
          <w:tcPr>
            <w:tcW w:w="800" w:type="dxa"/>
            <w:tcBorders>
              <w:top w:val="nil"/>
              <w:left w:val="nil"/>
              <w:bottom w:val="nil"/>
              <w:right w:val="nil"/>
            </w:tcBorders>
            <w:shd w:val="clear" w:color="auto" w:fill="auto"/>
            <w:noWrap/>
            <w:vAlign w:val="bottom"/>
            <w:hideMark/>
          </w:tcPr>
          <w:p w14:paraId="5F09FA26" w14:textId="77777777" w:rsidR="004E12B7" w:rsidRPr="00CB1758" w:rsidRDefault="009B446A" w:rsidP="004E12B7">
            <w:pPr>
              <w:jc w:val="right"/>
              <w:rPr>
                <w:rFonts w:cs="Arial"/>
                <w:sz w:val="20"/>
              </w:rPr>
            </w:pPr>
          </w:p>
        </w:tc>
      </w:tr>
      <w:tr w:rsidR="00207C08" w14:paraId="16E80A35" w14:textId="77777777" w:rsidTr="00ED1B9D">
        <w:trPr>
          <w:trHeight w:val="196"/>
        </w:trPr>
        <w:tc>
          <w:tcPr>
            <w:tcW w:w="2659"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36F93170" w14:textId="77777777" w:rsidR="004E12B7" w:rsidRPr="00CB1758" w:rsidRDefault="00CE562C" w:rsidP="004E12B7">
            <w:pPr>
              <w:rPr>
                <w:rFonts w:cs="Arial"/>
                <w:b/>
                <w:bCs/>
                <w:color w:val="000000"/>
                <w:sz w:val="20"/>
              </w:rPr>
            </w:pPr>
            <w:r w:rsidRPr="00CB1758">
              <w:rPr>
                <w:rFonts w:cs="Arial"/>
                <w:b/>
                <w:bCs/>
                <w:color w:val="000000"/>
                <w:sz w:val="20"/>
              </w:rPr>
              <w:t xml:space="preserve">Total </w:t>
            </w:r>
            <w:r>
              <w:rPr>
                <w:rFonts w:cs="Arial"/>
                <w:b/>
                <w:bCs/>
                <w:color w:val="000000"/>
                <w:sz w:val="20"/>
              </w:rPr>
              <w:t>Borrowing</w:t>
            </w:r>
          </w:p>
        </w:tc>
        <w:tc>
          <w:tcPr>
            <w:tcW w:w="1153" w:type="dxa"/>
            <w:tcBorders>
              <w:top w:val="single" w:sz="4" w:space="0" w:color="auto"/>
              <w:left w:val="nil"/>
              <w:bottom w:val="single" w:sz="4" w:space="0" w:color="auto"/>
              <w:right w:val="single" w:sz="4" w:space="0" w:color="auto"/>
            </w:tcBorders>
            <w:shd w:val="clear" w:color="000000" w:fill="D9E1F2"/>
            <w:noWrap/>
            <w:vAlign w:val="bottom"/>
            <w:hideMark/>
          </w:tcPr>
          <w:p w14:paraId="10EA66B0" w14:textId="7A94C370" w:rsidR="004E12B7" w:rsidRPr="00CB1758" w:rsidRDefault="00CE562C" w:rsidP="004E12B7">
            <w:pPr>
              <w:jc w:val="right"/>
              <w:rPr>
                <w:rFonts w:cs="Arial"/>
                <w:b/>
                <w:bCs/>
                <w:color w:val="000000"/>
                <w:sz w:val="20"/>
              </w:rPr>
            </w:pPr>
            <w:r w:rsidRPr="00CB1758">
              <w:rPr>
                <w:rFonts w:cs="Arial"/>
                <w:b/>
                <w:bCs/>
                <w:color w:val="000000"/>
                <w:sz w:val="20"/>
              </w:rPr>
              <w:t>1,039.</w:t>
            </w:r>
            <w:r w:rsidR="00E241E0">
              <w:rPr>
                <w:rFonts w:cs="Arial"/>
                <w:b/>
                <w:bCs/>
                <w:color w:val="000000"/>
                <w:sz w:val="20"/>
              </w:rPr>
              <w:t>6</w:t>
            </w:r>
          </w:p>
        </w:tc>
        <w:tc>
          <w:tcPr>
            <w:tcW w:w="718" w:type="dxa"/>
            <w:tcBorders>
              <w:top w:val="single" w:sz="4" w:space="0" w:color="auto"/>
              <w:left w:val="nil"/>
              <w:bottom w:val="single" w:sz="4" w:space="0" w:color="auto"/>
              <w:right w:val="single" w:sz="4" w:space="0" w:color="auto"/>
            </w:tcBorders>
            <w:shd w:val="clear" w:color="000000" w:fill="D9E1F2"/>
            <w:noWrap/>
            <w:vAlign w:val="bottom"/>
            <w:hideMark/>
          </w:tcPr>
          <w:p w14:paraId="0B722EFB" w14:textId="77777777" w:rsidR="004E12B7" w:rsidRPr="00CB1758" w:rsidRDefault="00CE562C" w:rsidP="004E12B7">
            <w:pPr>
              <w:jc w:val="right"/>
              <w:rPr>
                <w:rFonts w:cs="Arial"/>
                <w:b/>
                <w:bCs/>
                <w:color w:val="000000"/>
                <w:sz w:val="20"/>
              </w:rPr>
            </w:pPr>
            <w:r w:rsidRPr="00CB1758">
              <w:rPr>
                <w:rFonts w:cs="Arial"/>
                <w:b/>
                <w:bCs/>
                <w:color w:val="000000"/>
                <w:sz w:val="20"/>
              </w:rPr>
              <w:t>100.0</w:t>
            </w:r>
          </w:p>
        </w:tc>
        <w:tc>
          <w:tcPr>
            <w:tcW w:w="1138" w:type="dxa"/>
            <w:tcBorders>
              <w:top w:val="single" w:sz="4" w:space="0" w:color="auto"/>
              <w:left w:val="nil"/>
              <w:bottom w:val="single" w:sz="4" w:space="0" w:color="auto"/>
              <w:right w:val="single" w:sz="4" w:space="0" w:color="auto"/>
            </w:tcBorders>
            <w:shd w:val="clear" w:color="000000" w:fill="D9E1F2"/>
            <w:noWrap/>
            <w:vAlign w:val="bottom"/>
          </w:tcPr>
          <w:p w14:paraId="3680F9C6" w14:textId="1D3E90EB" w:rsidR="004E12B7" w:rsidRPr="00CB1758" w:rsidRDefault="00CE562C" w:rsidP="004E12B7">
            <w:pPr>
              <w:jc w:val="right"/>
              <w:rPr>
                <w:rFonts w:cs="Arial"/>
                <w:b/>
                <w:bCs/>
                <w:color w:val="000000"/>
                <w:sz w:val="20"/>
              </w:rPr>
            </w:pPr>
            <w:r w:rsidRPr="00CB1758">
              <w:rPr>
                <w:rFonts w:cs="Arial"/>
                <w:b/>
                <w:bCs/>
                <w:color w:val="000000"/>
                <w:sz w:val="20"/>
              </w:rPr>
              <w:t>1,00</w:t>
            </w:r>
            <w:r w:rsidR="00E241E0">
              <w:rPr>
                <w:rFonts w:cs="Arial"/>
                <w:b/>
                <w:bCs/>
                <w:color w:val="000000"/>
                <w:sz w:val="20"/>
              </w:rPr>
              <w:t>9</w:t>
            </w:r>
            <w:r w:rsidRPr="00CB1758">
              <w:rPr>
                <w:rFonts w:cs="Arial"/>
                <w:b/>
                <w:bCs/>
                <w:color w:val="000000"/>
                <w:sz w:val="20"/>
              </w:rPr>
              <w:t>.</w:t>
            </w:r>
            <w:r w:rsidR="00E241E0">
              <w:rPr>
                <w:rFonts w:cs="Arial"/>
                <w:b/>
                <w:bCs/>
                <w:color w:val="000000"/>
                <w:sz w:val="20"/>
              </w:rPr>
              <w:t>4</w:t>
            </w:r>
          </w:p>
        </w:tc>
        <w:tc>
          <w:tcPr>
            <w:tcW w:w="1420" w:type="dxa"/>
            <w:tcBorders>
              <w:top w:val="single" w:sz="4" w:space="0" w:color="auto"/>
              <w:left w:val="nil"/>
              <w:bottom w:val="single" w:sz="4" w:space="0" w:color="auto"/>
              <w:right w:val="single" w:sz="4" w:space="0" w:color="auto"/>
            </w:tcBorders>
            <w:shd w:val="clear" w:color="000000" w:fill="D9E1F2"/>
            <w:noWrap/>
            <w:vAlign w:val="bottom"/>
          </w:tcPr>
          <w:p w14:paraId="0CFAE950" w14:textId="5980650C" w:rsidR="004E12B7" w:rsidRPr="00CB1758" w:rsidRDefault="00CE562C" w:rsidP="004E12B7">
            <w:pPr>
              <w:jc w:val="right"/>
              <w:rPr>
                <w:rFonts w:cs="Arial"/>
                <w:b/>
                <w:bCs/>
                <w:color w:val="000000"/>
                <w:sz w:val="20"/>
              </w:rPr>
            </w:pPr>
            <w:r w:rsidRPr="00CB1758">
              <w:rPr>
                <w:rFonts w:cs="Arial"/>
                <w:b/>
                <w:bCs/>
                <w:color w:val="000000"/>
                <w:sz w:val="20"/>
              </w:rPr>
              <w:t>(1,09</w:t>
            </w:r>
            <w:r w:rsidR="00E241E0">
              <w:rPr>
                <w:rFonts w:cs="Arial"/>
                <w:b/>
                <w:bCs/>
                <w:color w:val="000000"/>
                <w:sz w:val="20"/>
              </w:rPr>
              <w:t>6</w:t>
            </w:r>
            <w:r w:rsidRPr="00CB1758">
              <w:rPr>
                <w:rFonts w:cs="Arial"/>
                <w:b/>
                <w:bCs/>
                <w:color w:val="000000"/>
                <w:sz w:val="20"/>
              </w:rPr>
              <w:t>.</w:t>
            </w:r>
            <w:r w:rsidR="00E241E0">
              <w:rPr>
                <w:rFonts w:cs="Arial"/>
                <w:b/>
                <w:bCs/>
                <w:color w:val="000000"/>
                <w:sz w:val="20"/>
              </w:rPr>
              <w:t>5</w:t>
            </w:r>
            <w:r w:rsidRPr="00CB1758">
              <w:rPr>
                <w:rFonts w:cs="Arial"/>
                <w:b/>
                <w:bCs/>
                <w:color w:val="000000"/>
                <w:sz w:val="20"/>
              </w:rPr>
              <w:t>)</w:t>
            </w:r>
          </w:p>
        </w:tc>
        <w:tc>
          <w:tcPr>
            <w:tcW w:w="1134" w:type="dxa"/>
            <w:tcBorders>
              <w:top w:val="single" w:sz="4" w:space="0" w:color="auto"/>
              <w:left w:val="nil"/>
              <w:bottom w:val="single" w:sz="4" w:space="0" w:color="auto"/>
              <w:right w:val="single" w:sz="4" w:space="0" w:color="auto"/>
            </w:tcBorders>
            <w:shd w:val="clear" w:color="000000" w:fill="D9E1F2"/>
            <w:noWrap/>
            <w:vAlign w:val="bottom"/>
          </w:tcPr>
          <w:p w14:paraId="10D56760" w14:textId="3B37818C" w:rsidR="004E12B7" w:rsidRPr="00CB1758" w:rsidRDefault="00CE562C" w:rsidP="004E12B7">
            <w:pPr>
              <w:jc w:val="right"/>
              <w:rPr>
                <w:rFonts w:cs="Arial"/>
                <w:b/>
                <w:bCs/>
                <w:color w:val="000000"/>
                <w:sz w:val="20"/>
              </w:rPr>
            </w:pPr>
            <w:r w:rsidRPr="00CB1758">
              <w:rPr>
                <w:rFonts w:cs="Arial"/>
                <w:b/>
                <w:bCs/>
                <w:color w:val="000000"/>
                <w:sz w:val="20"/>
              </w:rPr>
              <w:t>9</w:t>
            </w:r>
            <w:r w:rsidR="009A7BC3">
              <w:rPr>
                <w:rFonts w:cs="Arial"/>
                <w:b/>
                <w:bCs/>
                <w:color w:val="000000"/>
                <w:sz w:val="20"/>
              </w:rPr>
              <w:t>52.5</w:t>
            </w:r>
          </w:p>
        </w:tc>
        <w:tc>
          <w:tcPr>
            <w:tcW w:w="800" w:type="dxa"/>
            <w:tcBorders>
              <w:top w:val="single" w:sz="4" w:space="0" w:color="auto"/>
              <w:left w:val="nil"/>
              <w:bottom w:val="single" w:sz="4" w:space="0" w:color="auto"/>
              <w:right w:val="single" w:sz="4" w:space="0" w:color="auto"/>
            </w:tcBorders>
            <w:shd w:val="clear" w:color="000000" w:fill="D9E1F2"/>
            <w:noWrap/>
            <w:vAlign w:val="bottom"/>
            <w:hideMark/>
          </w:tcPr>
          <w:p w14:paraId="65EB8206" w14:textId="77777777" w:rsidR="004E12B7" w:rsidRPr="00CB1758" w:rsidRDefault="00CE562C" w:rsidP="004E12B7">
            <w:pPr>
              <w:jc w:val="right"/>
              <w:rPr>
                <w:rFonts w:cs="Arial"/>
                <w:b/>
                <w:bCs/>
                <w:color w:val="000000"/>
                <w:sz w:val="20"/>
              </w:rPr>
            </w:pPr>
            <w:r w:rsidRPr="00CB1758">
              <w:rPr>
                <w:rFonts w:cs="Arial"/>
                <w:b/>
                <w:bCs/>
                <w:color w:val="000000"/>
                <w:sz w:val="20"/>
              </w:rPr>
              <w:t>100.0</w:t>
            </w:r>
          </w:p>
        </w:tc>
      </w:tr>
    </w:tbl>
    <w:p w14:paraId="5EDC478D" w14:textId="77777777" w:rsidR="004E12B7" w:rsidRDefault="009B446A" w:rsidP="004E12B7">
      <w:pPr>
        <w:jc w:val="both"/>
      </w:pPr>
    </w:p>
    <w:p w14:paraId="43B1E42F" w14:textId="77777777" w:rsidR="004E12B7" w:rsidRPr="00EF3E77" w:rsidRDefault="00CE562C" w:rsidP="004E12B7">
      <w:pPr>
        <w:jc w:val="both"/>
        <w:rPr>
          <w:sz w:val="18"/>
        </w:rPr>
      </w:pPr>
      <w:r w:rsidRPr="00EF3E77">
        <w:rPr>
          <w:sz w:val="18"/>
        </w:rPr>
        <w:t>*Lender option borrower option</w:t>
      </w:r>
    </w:p>
    <w:p w14:paraId="7C25277B" w14:textId="77777777" w:rsidR="00236D72" w:rsidRPr="00A303E3" w:rsidRDefault="00CE562C" w:rsidP="004E12B7">
      <w:pPr>
        <w:jc w:val="both"/>
      </w:pPr>
      <w:r w:rsidRPr="00236D72">
        <w:t xml:space="preserve">With the low interest rates anticipated to continue the council maintained its policy of taking short term market borrowing and this is reflected in the activity in the year and the structure of the debt at 31 March 2018. </w:t>
      </w:r>
      <w:r w:rsidRPr="00A303E3">
        <w:t>The maturity profile of borrowing at the end of the year was as follows:</w:t>
      </w:r>
    </w:p>
    <w:p w14:paraId="38688B6D" w14:textId="77777777" w:rsidR="00A303E3" w:rsidRDefault="009B446A" w:rsidP="004E12B7">
      <w:pPr>
        <w:jc w:val="both"/>
        <w:rPr>
          <w:highlight w:val="yellow"/>
        </w:rPr>
      </w:pPr>
    </w:p>
    <w:p w14:paraId="1DB9A440" w14:textId="77777777" w:rsidR="004E12B7" w:rsidRDefault="00CE562C" w:rsidP="004E12B7">
      <w:pPr>
        <w:jc w:val="both"/>
      </w:pPr>
      <w:r>
        <w:t xml:space="preserve">              </w:t>
      </w:r>
      <w:r>
        <w:rPr>
          <w:noProof/>
        </w:rPr>
        <w:drawing>
          <wp:inline distT="0" distB="0" distL="0" distR="0" wp14:anchorId="1F1094CE" wp14:editId="5A296718">
            <wp:extent cx="4791075" cy="26765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5DEE1F2" w14:textId="77777777" w:rsidR="00FC37D8" w:rsidRDefault="009B446A" w:rsidP="004E12B7">
      <w:pPr>
        <w:jc w:val="both"/>
      </w:pPr>
    </w:p>
    <w:p w14:paraId="028EF1AF" w14:textId="1B0D60C5" w:rsidR="00FC37D8" w:rsidRPr="00B06B0C" w:rsidRDefault="002956E1" w:rsidP="004E12B7">
      <w:pPr>
        <w:jc w:val="both"/>
        <w:rPr>
          <w:highlight w:val="yellow"/>
        </w:rPr>
      </w:pPr>
      <w:r>
        <w:t>In the chart, t</w:t>
      </w:r>
      <w:r w:rsidR="00CE562C">
        <w:t xml:space="preserve">he </w:t>
      </w:r>
      <w:r w:rsidR="00024DFA">
        <w:t>'</w:t>
      </w:r>
      <w:r w:rsidR="00CE562C">
        <w:t>uncertain</w:t>
      </w:r>
      <w:r w:rsidR="00024DFA">
        <w:t>'</w:t>
      </w:r>
      <w:r w:rsidR="00CE562C">
        <w:t xml:space="preserve"> </w:t>
      </w:r>
      <w:r w:rsidR="009A7BC3">
        <w:t>category</w:t>
      </w:r>
      <w:r w:rsidR="00CE562C">
        <w:t xml:space="preserve"> refers to the lender option borrower option (LOBO) loan. This matures in November 2060. However, within the contract there is an option every 5 years for the bank to change the interest rate which if the council do</w:t>
      </w:r>
      <w:r w:rsidR="00024DFA">
        <w:t>es</w:t>
      </w:r>
      <w:r w:rsidR="00CE562C">
        <w:t xml:space="preserve"> not consider acceptable then it can repay the loan without incurring any penalties.</w:t>
      </w:r>
    </w:p>
    <w:p w14:paraId="40DA8849" w14:textId="77777777" w:rsidR="004E12B7" w:rsidRPr="00B06B0C" w:rsidRDefault="009B446A" w:rsidP="004E12B7">
      <w:pPr>
        <w:jc w:val="both"/>
        <w:rPr>
          <w:highlight w:val="yellow"/>
        </w:rPr>
      </w:pPr>
    </w:p>
    <w:p w14:paraId="1AAB3DD4" w14:textId="7FC4EEB2" w:rsidR="004E12B7" w:rsidRPr="00B06B0C" w:rsidRDefault="00CE562C" w:rsidP="004E12B7">
      <w:pPr>
        <w:jc w:val="both"/>
        <w:rPr>
          <w:highlight w:val="yellow"/>
        </w:rPr>
      </w:pPr>
      <w:r w:rsidRPr="002249A3">
        <w:rPr>
          <w:rFonts w:cs="Arial"/>
        </w:rPr>
        <w:t xml:space="preserve">With short-term interest rates being lower than long-term rates, it was more cost effective in the short-term to </w:t>
      </w:r>
      <w:r w:rsidRPr="002249A3">
        <w:t>borrow short-term loans from the market, mainly from other local authorities.  Whilst such a strategy is most likely to be beneficial over the next year as official interest rates remain low, it is</w:t>
      </w:r>
      <w:r>
        <w:t xml:space="preserve"> a situation that is regularly reviewed</w:t>
      </w:r>
      <w:r w:rsidRPr="002249A3">
        <w:t>. The Director of Finan</w:t>
      </w:r>
      <w:r>
        <w:t>ce</w:t>
      </w:r>
      <w:r w:rsidRPr="002249A3">
        <w:t xml:space="preserve"> will, in conjunction with Arlingclose, continue to closely monitor interest rate forecasts in order to establish when</w:t>
      </w:r>
      <w:r w:rsidR="00A51DD8">
        <w:t xml:space="preserve"> the</w:t>
      </w:r>
      <w:r w:rsidRPr="002249A3">
        <w:t xml:space="preserve"> strategy </w:t>
      </w:r>
      <w:r w:rsidR="00A51DD8">
        <w:t>should be adjusted</w:t>
      </w:r>
      <w:r w:rsidRPr="002249A3">
        <w:t xml:space="preserve">.  </w:t>
      </w:r>
    </w:p>
    <w:p w14:paraId="366FA850" w14:textId="77777777" w:rsidR="004E12B7" w:rsidRPr="00B06B0C" w:rsidRDefault="009B446A" w:rsidP="004E12B7">
      <w:pPr>
        <w:jc w:val="both"/>
        <w:rPr>
          <w:highlight w:val="yellow"/>
        </w:rPr>
      </w:pPr>
    </w:p>
    <w:p w14:paraId="7498C4AC" w14:textId="77777777" w:rsidR="004E12B7" w:rsidRPr="001608DC" w:rsidRDefault="00CE562C" w:rsidP="004E12B7">
      <w:pPr>
        <w:jc w:val="both"/>
        <w:rPr>
          <w:szCs w:val="24"/>
        </w:rPr>
      </w:pPr>
      <w:r w:rsidRPr="002249A3">
        <w:t xml:space="preserve">Overall the average rate of interest paid in </w:t>
      </w:r>
      <w:r w:rsidRPr="002249A3">
        <w:rPr>
          <w:caps/>
        </w:rPr>
        <w:t>2017/18</w:t>
      </w:r>
      <w:r w:rsidRPr="002249A3">
        <w:t xml:space="preserve"> on the debt administered by the </w:t>
      </w:r>
      <w:r>
        <w:t>c</w:t>
      </w:r>
      <w:r w:rsidRPr="002249A3">
        <w:t xml:space="preserve">ouncil was </w:t>
      </w:r>
      <w:r>
        <w:t>2.07</w:t>
      </w:r>
      <w:r w:rsidRPr="002249A3">
        <w:t>% compared with an average rate of 2.12% in 2016/17.</w:t>
      </w:r>
      <w:r>
        <w:t xml:space="preserve">  </w:t>
      </w:r>
      <w:r w:rsidRPr="001608DC">
        <w:rPr>
          <w:szCs w:val="24"/>
        </w:rPr>
        <w:t xml:space="preserve">The </w:t>
      </w:r>
      <w:r>
        <w:rPr>
          <w:szCs w:val="24"/>
        </w:rPr>
        <w:t>c</w:t>
      </w:r>
      <w:r w:rsidRPr="001608DC">
        <w:rPr>
          <w:szCs w:val="24"/>
        </w:rPr>
        <w:t>ouncil did not enter into any new other long term liability arrangements in the year. The outstanding PFI liability at 31</w:t>
      </w:r>
      <w:r>
        <w:rPr>
          <w:szCs w:val="24"/>
        </w:rPr>
        <w:t xml:space="preserve"> March 20</w:t>
      </w:r>
      <w:r w:rsidRPr="001608DC">
        <w:rPr>
          <w:szCs w:val="24"/>
        </w:rPr>
        <w:t xml:space="preserve">18 was £152.4m. </w:t>
      </w:r>
    </w:p>
    <w:p w14:paraId="23BE02DB" w14:textId="77777777" w:rsidR="00754FA4" w:rsidRDefault="009B446A" w:rsidP="004E12B7">
      <w:pPr>
        <w:jc w:val="both"/>
        <w:rPr>
          <w:b/>
          <w:szCs w:val="24"/>
          <w:highlight w:val="yellow"/>
        </w:rPr>
      </w:pPr>
    </w:p>
    <w:p w14:paraId="4B805583" w14:textId="77777777" w:rsidR="004E12B7" w:rsidRPr="00247061" w:rsidRDefault="00CE562C" w:rsidP="004E12B7">
      <w:pPr>
        <w:jc w:val="both"/>
        <w:rPr>
          <w:i/>
          <w:szCs w:val="24"/>
        </w:rPr>
      </w:pPr>
      <w:r w:rsidRPr="00247061">
        <w:rPr>
          <w:i/>
          <w:szCs w:val="24"/>
        </w:rPr>
        <w:t>Investment Activity</w:t>
      </w:r>
    </w:p>
    <w:p w14:paraId="155D6726" w14:textId="77777777" w:rsidR="004E12B7" w:rsidRPr="003F7978" w:rsidRDefault="009B446A" w:rsidP="004E12B7">
      <w:pPr>
        <w:jc w:val="both"/>
        <w:rPr>
          <w:b/>
          <w:szCs w:val="24"/>
        </w:rPr>
      </w:pPr>
    </w:p>
    <w:p w14:paraId="3B4AC724" w14:textId="1174FC65" w:rsidR="004E12B7" w:rsidRPr="003F7978" w:rsidRDefault="00CE562C" w:rsidP="004E12B7">
      <w:pPr>
        <w:jc w:val="both"/>
      </w:pPr>
      <w:r w:rsidRPr="003F7978">
        <w:rPr>
          <w:szCs w:val="24"/>
        </w:rPr>
        <w:t xml:space="preserve">The </w:t>
      </w:r>
      <w:r>
        <w:rPr>
          <w:szCs w:val="24"/>
        </w:rPr>
        <w:t>c</w:t>
      </w:r>
      <w:r w:rsidRPr="003F7978">
        <w:rPr>
          <w:szCs w:val="24"/>
        </w:rPr>
        <w:t>ouncil holds investments as it h</w:t>
      </w:r>
      <w:r>
        <w:rPr>
          <w:szCs w:val="24"/>
        </w:rPr>
        <w:t>as</w:t>
      </w:r>
      <w:r w:rsidRPr="003F7978">
        <w:rPr>
          <w:szCs w:val="24"/>
        </w:rPr>
        <w:t xml:space="preserve"> reserves and other cash balances in its </w:t>
      </w:r>
      <w:r>
        <w:rPr>
          <w:szCs w:val="24"/>
        </w:rPr>
        <w:t>b</w:t>
      </w:r>
      <w:r w:rsidRPr="003F7978">
        <w:rPr>
          <w:szCs w:val="24"/>
        </w:rPr>
        <w:t xml:space="preserve">alance </w:t>
      </w:r>
      <w:r>
        <w:rPr>
          <w:szCs w:val="24"/>
        </w:rPr>
        <w:t>s</w:t>
      </w:r>
      <w:r w:rsidRPr="003F7978">
        <w:rPr>
          <w:szCs w:val="24"/>
        </w:rPr>
        <w:t xml:space="preserve">heet. </w:t>
      </w:r>
      <w:r w:rsidRPr="003F7978">
        <w:t>The total amount of investments (excluding fair value adjustment)</w:t>
      </w:r>
      <w:r>
        <w:t>,</w:t>
      </w:r>
      <w:r w:rsidRPr="003F7978">
        <w:t xml:space="preserve"> held at 31 March 201</w:t>
      </w:r>
      <w:r>
        <w:t>8</w:t>
      </w:r>
      <w:r w:rsidRPr="003F7978">
        <w:t xml:space="preserve"> </w:t>
      </w:r>
      <w:r>
        <w:t>was</w:t>
      </w:r>
      <w:r w:rsidRPr="003F7978">
        <w:t xml:space="preserve"> £320.</w:t>
      </w:r>
      <w:r w:rsidR="00A51DD8">
        <w:t>8</w:t>
      </w:r>
      <w:r w:rsidRPr="003F7978">
        <w:t>m.  This is £253.8m lower than at 31 March 2017</w:t>
      </w:r>
      <w:r w:rsidR="005C5D22">
        <w:t xml:space="preserve"> and the movements are </w:t>
      </w:r>
      <w:r>
        <w:t>detailed in the following table</w:t>
      </w:r>
      <w:r w:rsidR="005C5D22">
        <w:t>. The overall reduction shown is largely due to the sale of bonds towards the end of the financial year, with funds reinvested early in 2018/19</w:t>
      </w:r>
      <w:r w:rsidR="00247061">
        <w:t xml:space="preserve"> in line with the approved investment limits for 2018/19</w:t>
      </w:r>
      <w:r w:rsidR="005C5D22">
        <w:t xml:space="preserve">. </w:t>
      </w:r>
    </w:p>
    <w:p w14:paraId="3EC67B9B" w14:textId="77777777" w:rsidR="004E12B7" w:rsidRDefault="009B446A" w:rsidP="004E12B7">
      <w:pPr>
        <w:jc w:val="both"/>
      </w:pPr>
    </w:p>
    <w:p w14:paraId="38359181" w14:textId="77777777" w:rsidR="00F91C94" w:rsidRDefault="00F91C94" w:rsidP="004E12B7">
      <w:pPr>
        <w:jc w:val="both"/>
      </w:pPr>
    </w:p>
    <w:p w14:paraId="7A1BD22F" w14:textId="77777777" w:rsidR="00F91C94" w:rsidRPr="003F7978" w:rsidRDefault="00F91C94" w:rsidP="004E12B7">
      <w:pPr>
        <w:jc w:val="both"/>
      </w:pPr>
    </w:p>
    <w:tbl>
      <w:tblPr>
        <w:tblW w:w="901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6"/>
        <w:gridCol w:w="1701"/>
        <w:gridCol w:w="1413"/>
        <w:gridCol w:w="1787"/>
      </w:tblGrid>
      <w:tr w:rsidR="00207C08" w14:paraId="27A955D5" w14:textId="77777777" w:rsidTr="00247061">
        <w:trPr>
          <w:trHeight w:val="437"/>
        </w:trPr>
        <w:tc>
          <w:tcPr>
            <w:tcW w:w="4116" w:type="dxa"/>
            <w:shd w:val="clear" w:color="auto" w:fill="auto"/>
            <w:noWrap/>
            <w:vAlign w:val="center"/>
            <w:hideMark/>
          </w:tcPr>
          <w:p w14:paraId="5F80C6BE" w14:textId="77777777" w:rsidR="004E12B7" w:rsidRPr="00EF3E77" w:rsidRDefault="00CE562C" w:rsidP="004E12B7">
            <w:pPr>
              <w:rPr>
                <w:rFonts w:ascii="Times New Roman" w:hAnsi="Times New Roman"/>
                <w:color w:val="000000"/>
                <w:sz w:val="20"/>
              </w:rPr>
            </w:pPr>
            <w:r w:rsidRPr="00EF3E77">
              <w:rPr>
                <w:rFonts w:ascii="Times New Roman" w:hAnsi="Times New Roman"/>
                <w:color w:val="000000"/>
                <w:sz w:val="20"/>
              </w:rPr>
              <w:t> </w:t>
            </w:r>
            <w:r w:rsidRPr="00EF3E77">
              <w:rPr>
                <w:rFonts w:cs="Arial"/>
                <w:b/>
                <w:bCs/>
                <w:color w:val="000000"/>
                <w:sz w:val="20"/>
              </w:rPr>
              <w:t>Maturity Range</w:t>
            </w:r>
          </w:p>
        </w:tc>
        <w:tc>
          <w:tcPr>
            <w:tcW w:w="1701" w:type="dxa"/>
            <w:shd w:val="clear" w:color="auto" w:fill="auto"/>
            <w:noWrap/>
            <w:vAlign w:val="center"/>
            <w:hideMark/>
          </w:tcPr>
          <w:p w14:paraId="6A555444" w14:textId="77777777" w:rsidR="004E12B7" w:rsidRDefault="00CE562C" w:rsidP="004E12B7">
            <w:pPr>
              <w:jc w:val="center"/>
              <w:rPr>
                <w:rFonts w:cs="Arial"/>
                <w:b/>
                <w:bCs/>
                <w:color w:val="000000"/>
                <w:sz w:val="20"/>
              </w:rPr>
            </w:pPr>
            <w:r w:rsidRPr="00EF3E77">
              <w:rPr>
                <w:rFonts w:cs="Arial"/>
                <w:b/>
                <w:bCs/>
                <w:color w:val="000000"/>
                <w:sz w:val="20"/>
              </w:rPr>
              <w:t>Position as at 31</w:t>
            </w:r>
            <w:r>
              <w:rPr>
                <w:rFonts w:cs="Arial"/>
                <w:b/>
                <w:bCs/>
                <w:color w:val="000000"/>
                <w:sz w:val="20"/>
              </w:rPr>
              <w:t xml:space="preserve"> March 20</w:t>
            </w:r>
            <w:r w:rsidRPr="00EF3E77">
              <w:rPr>
                <w:rFonts w:cs="Arial"/>
                <w:b/>
                <w:bCs/>
                <w:color w:val="000000"/>
                <w:sz w:val="20"/>
              </w:rPr>
              <w:t>17</w:t>
            </w:r>
          </w:p>
          <w:p w14:paraId="668EAE76" w14:textId="77777777" w:rsidR="004E12B7" w:rsidRPr="00EF3E77" w:rsidRDefault="00CE562C" w:rsidP="004E12B7">
            <w:pPr>
              <w:jc w:val="center"/>
              <w:rPr>
                <w:rFonts w:cs="Arial"/>
                <w:b/>
                <w:bCs/>
                <w:color w:val="000000"/>
                <w:sz w:val="20"/>
              </w:rPr>
            </w:pPr>
            <w:r w:rsidRPr="00EF3E77">
              <w:rPr>
                <w:rFonts w:cs="Arial"/>
                <w:b/>
                <w:bCs/>
                <w:color w:val="000000"/>
                <w:sz w:val="20"/>
              </w:rPr>
              <w:t>£m</w:t>
            </w:r>
          </w:p>
        </w:tc>
        <w:tc>
          <w:tcPr>
            <w:tcW w:w="1413" w:type="dxa"/>
            <w:shd w:val="clear" w:color="auto" w:fill="auto"/>
            <w:noWrap/>
            <w:vAlign w:val="center"/>
            <w:hideMark/>
          </w:tcPr>
          <w:p w14:paraId="0AC7C514" w14:textId="77777777" w:rsidR="004E12B7" w:rsidRDefault="00CE562C" w:rsidP="004E12B7">
            <w:pPr>
              <w:jc w:val="center"/>
              <w:rPr>
                <w:rFonts w:cs="Arial"/>
                <w:b/>
                <w:bCs/>
                <w:color w:val="000000"/>
                <w:sz w:val="20"/>
              </w:rPr>
            </w:pPr>
            <w:r w:rsidRPr="00EF3E77">
              <w:rPr>
                <w:rFonts w:cs="Arial"/>
                <w:b/>
                <w:bCs/>
                <w:color w:val="000000"/>
                <w:sz w:val="20"/>
              </w:rPr>
              <w:t>2017/18 Movement</w:t>
            </w:r>
          </w:p>
          <w:p w14:paraId="2CE04C6F" w14:textId="77777777" w:rsidR="004E12B7" w:rsidRPr="00EF3E77" w:rsidRDefault="00CE562C" w:rsidP="004E12B7">
            <w:pPr>
              <w:jc w:val="center"/>
              <w:rPr>
                <w:rFonts w:cs="Arial"/>
                <w:b/>
                <w:bCs/>
                <w:color w:val="000000"/>
                <w:sz w:val="20"/>
              </w:rPr>
            </w:pPr>
            <w:r w:rsidRPr="00EF3E77">
              <w:rPr>
                <w:rFonts w:cs="Arial"/>
                <w:b/>
                <w:bCs/>
                <w:color w:val="000000"/>
                <w:sz w:val="20"/>
              </w:rPr>
              <w:t>£m</w:t>
            </w:r>
          </w:p>
        </w:tc>
        <w:tc>
          <w:tcPr>
            <w:tcW w:w="1787" w:type="dxa"/>
            <w:shd w:val="clear" w:color="auto" w:fill="auto"/>
            <w:noWrap/>
            <w:vAlign w:val="center"/>
            <w:hideMark/>
          </w:tcPr>
          <w:p w14:paraId="33E112B2" w14:textId="77777777" w:rsidR="004E12B7" w:rsidRDefault="00CE562C" w:rsidP="004E12B7">
            <w:pPr>
              <w:jc w:val="center"/>
              <w:rPr>
                <w:rFonts w:cs="Arial"/>
                <w:b/>
                <w:bCs/>
                <w:color w:val="000000"/>
                <w:sz w:val="20"/>
              </w:rPr>
            </w:pPr>
            <w:r w:rsidRPr="00EF3E77">
              <w:rPr>
                <w:rFonts w:cs="Arial"/>
                <w:b/>
                <w:bCs/>
                <w:color w:val="000000"/>
                <w:sz w:val="20"/>
              </w:rPr>
              <w:t>Position as at 31</w:t>
            </w:r>
            <w:r>
              <w:rPr>
                <w:rFonts w:cs="Arial"/>
                <w:b/>
                <w:bCs/>
                <w:color w:val="000000"/>
                <w:sz w:val="20"/>
              </w:rPr>
              <w:t xml:space="preserve"> March 20</w:t>
            </w:r>
            <w:r w:rsidRPr="00EF3E77">
              <w:rPr>
                <w:rFonts w:cs="Arial"/>
                <w:b/>
                <w:bCs/>
                <w:color w:val="000000"/>
                <w:sz w:val="20"/>
              </w:rPr>
              <w:t>18</w:t>
            </w:r>
          </w:p>
          <w:p w14:paraId="5C96FE5E" w14:textId="77777777" w:rsidR="004E12B7" w:rsidRPr="00EF3E77" w:rsidRDefault="00CE562C" w:rsidP="004E12B7">
            <w:pPr>
              <w:jc w:val="center"/>
              <w:rPr>
                <w:rFonts w:cs="Arial"/>
                <w:b/>
                <w:bCs/>
                <w:color w:val="000000"/>
                <w:sz w:val="20"/>
              </w:rPr>
            </w:pPr>
            <w:r w:rsidRPr="00EF3E77">
              <w:rPr>
                <w:rFonts w:cs="Arial"/>
                <w:b/>
                <w:bCs/>
                <w:color w:val="000000"/>
                <w:sz w:val="20"/>
              </w:rPr>
              <w:t>£m</w:t>
            </w:r>
          </w:p>
        </w:tc>
      </w:tr>
      <w:tr w:rsidR="00207C08" w14:paraId="7963CF76" w14:textId="77777777" w:rsidTr="00247061">
        <w:trPr>
          <w:trHeight w:val="284"/>
        </w:trPr>
        <w:tc>
          <w:tcPr>
            <w:tcW w:w="4116" w:type="dxa"/>
            <w:shd w:val="clear" w:color="auto" w:fill="auto"/>
            <w:noWrap/>
            <w:vAlign w:val="center"/>
            <w:hideMark/>
          </w:tcPr>
          <w:p w14:paraId="264EA59F" w14:textId="77777777" w:rsidR="004E12B7" w:rsidRPr="00EF3E77" w:rsidRDefault="00CE562C" w:rsidP="004E12B7">
            <w:pPr>
              <w:spacing w:before="100" w:beforeAutospacing="1" w:after="100" w:afterAutospacing="1"/>
              <w:rPr>
                <w:rFonts w:cs="Arial"/>
                <w:color w:val="000000"/>
                <w:sz w:val="20"/>
              </w:rPr>
            </w:pPr>
            <w:r w:rsidRPr="00EF3E77">
              <w:rPr>
                <w:rFonts w:cs="Arial"/>
                <w:color w:val="000000"/>
                <w:sz w:val="20"/>
              </w:rPr>
              <w:t>Call, Money Market Funds &amp; Under 1yr</w:t>
            </w:r>
          </w:p>
        </w:tc>
        <w:tc>
          <w:tcPr>
            <w:tcW w:w="1701" w:type="dxa"/>
            <w:shd w:val="clear" w:color="auto" w:fill="auto"/>
            <w:noWrap/>
            <w:vAlign w:val="center"/>
            <w:hideMark/>
          </w:tcPr>
          <w:p w14:paraId="3234850D" w14:textId="77777777" w:rsidR="004E12B7" w:rsidRPr="00EF3E77" w:rsidRDefault="00CE562C" w:rsidP="004E12B7">
            <w:pPr>
              <w:spacing w:before="100" w:beforeAutospacing="1" w:after="100" w:afterAutospacing="1"/>
              <w:jc w:val="center"/>
              <w:rPr>
                <w:rFonts w:cs="Arial"/>
                <w:color w:val="000000"/>
                <w:sz w:val="20"/>
              </w:rPr>
            </w:pPr>
            <w:r w:rsidRPr="00EF3E77">
              <w:rPr>
                <w:rFonts w:cs="Arial"/>
                <w:color w:val="000000"/>
                <w:sz w:val="20"/>
              </w:rPr>
              <w:t>147.7</w:t>
            </w:r>
          </w:p>
        </w:tc>
        <w:tc>
          <w:tcPr>
            <w:tcW w:w="1413" w:type="dxa"/>
            <w:shd w:val="clear" w:color="auto" w:fill="auto"/>
            <w:noWrap/>
            <w:vAlign w:val="center"/>
            <w:hideMark/>
          </w:tcPr>
          <w:p w14:paraId="23E117B8" w14:textId="77777777" w:rsidR="004E12B7" w:rsidRPr="00EF3E77" w:rsidRDefault="00CE562C" w:rsidP="004E12B7">
            <w:pPr>
              <w:spacing w:before="100" w:beforeAutospacing="1" w:after="100" w:afterAutospacing="1"/>
              <w:jc w:val="center"/>
              <w:rPr>
                <w:rFonts w:cs="Arial"/>
                <w:color w:val="000000"/>
                <w:sz w:val="20"/>
              </w:rPr>
            </w:pPr>
            <w:r w:rsidRPr="00EF3E77">
              <w:rPr>
                <w:rFonts w:cs="Arial"/>
                <w:color w:val="000000"/>
                <w:sz w:val="20"/>
              </w:rPr>
              <w:t>-34.6</w:t>
            </w:r>
          </w:p>
        </w:tc>
        <w:tc>
          <w:tcPr>
            <w:tcW w:w="1787" w:type="dxa"/>
            <w:shd w:val="clear" w:color="auto" w:fill="auto"/>
            <w:noWrap/>
            <w:vAlign w:val="center"/>
            <w:hideMark/>
          </w:tcPr>
          <w:p w14:paraId="0D57B913" w14:textId="77777777" w:rsidR="004E12B7" w:rsidRPr="00EF3E77" w:rsidRDefault="00CE562C" w:rsidP="004E12B7">
            <w:pPr>
              <w:spacing w:before="100" w:beforeAutospacing="1" w:after="100" w:afterAutospacing="1"/>
              <w:jc w:val="center"/>
              <w:rPr>
                <w:rFonts w:cs="Arial"/>
                <w:color w:val="000000"/>
                <w:sz w:val="20"/>
              </w:rPr>
            </w:pPr>
            <w:r w:rsidRPr="00EF3E77">
              <w:rPr>
                <w:rFonts w:cs="Arial"/>
                <w:color w:val="000000"/>
                <w:sz w:val="20"/>
              </w:rPr>
              <w:t>113.1</w:t>
            </w:r>
          </w:p>
        </w:tc>
      </w:tr>
      <w:tr w:rsidR="00207C08" w14:paraId="435EBA70" w14:textId="77777777" w:rsidTr="00247061">
        <w:trPr>
          <w:trHeight w:val="274"/>
        </w:trPr>
        <w:tc>
          <w:tcPr>
            <w:tcW w:w="4116" w:type="dxa"/>
            <w:shd w:val="clear" w:color="auto" w:fill="auto"/>
            <w:noWrap/>
            <w:vAlign w:val="center"/>
            <w:hideMark/>
          </w:tcPr>
          <w:p w14:paraId="051ADF9A" w14:textId="77777777" w:rsidR="004E12B7" w:rsidRPr="00EF3E77" w:rsidRDefault="00CE562C" w:rsidP="004E12B7">
            <w:pPr>
              <w:spacing w:before="100" w:beforeAutospacing="1" w:after="100" w:afterAutospacing="1"/>
              <w:rPr>
                <w:rFonts w:cs="Arial"/>
                <w:color w:val="000000"/>
                <w:sz w:val="20"/>
              </w:rPr>
            </w:pPr>
            <w:r w:rsidRPr="00EF3E77">
              <w:rPr>
                <w:rFonts w:cs="Arial"/>
                <w:color w:val="000000"/>
                <w:sz w:val="20"/>
              </w:rPr>
              <w:t>Bank Deposit 1-2 Years</w:t>
            </w:r>
          </w:p>
        </w:tc>
        <w:tc>
          <w:tcPr>
            <w:tcW w:w="1701" w:type="dxa"/>
            <w:shd w:val="clear" w:color="auto" w:fill="auto"/>
            <w:noWrap/>
            <w:vAlign w:val="center"/>
            <w:hideMark/>
          </w:tcPr>
          <w:p w14:paraId="7300C2A0" w14:textId="77777777" w:rsidR="004E12B7" w:rsidRPr="00EF3E77" w:rsidRDefault="00CE562C" w:rsidP="004E12B7">
            <w:pPr>
              <w:spacing w:before="100" w:beforeAutospacing="1" w:after="100" w:afterAutospacing="1"/>
              <w:jc w:val="center"/>
              <w:rPr>
                <w:rFonts w:cs="Arial"/>
                <w:color w:val="000000"/>
                <w:sz w:val="20"/>
              </w:rPr>
            </w:pPr>
            <w:r w:rsidRPr="00EF3E77">
              <w:rPr>
                <w:rFonts w:cs="Arial"/>
                <w:color w:val="000000"/>
                <w:sz w:val="20"/>
              </w:rPr>
              <w:t>36.5</w:t>
            </w:r>
          </w:p>
        </w:tc>
        <w:tc>
          <w:tcPr>
            <w:tcW w:w="1413" w:type="dxa"/>
            <w:shd w:val="clear" w:color="auto" w:fill="auto"/>
            <w:noWrap/>
            <w:vAlign w:val="center"/>
            <w:hideMark/>
          </w:tcPr>
          <w:p w14:paraId="7F37705A" w14:textId="77777777" w:rsidR="004E12B7" w:rsidRPr="00EF3E77" w:rsidRDefault="00CE562C" w:rsidP="004E12B7">
            <w:pPr>
              <w:spacing w:before="100" w:beforeAutospacing="1" w:after="100" w:afterAutospacing="1"/>
              <w:jc w:val="center"/>
              <w:rPr>
                <w:rFonts w:cs="Arial"/>
                <w:color w:val="000000"/>
                <w:sz w:val="20"/>
              </w:rPr>
            </w:pPr>
            <w:r w:rsidRPr="00EF3E77">
              <w:rPr>
                <w:rFonts w:cs="Arial"/>
                <w:color w:val="000000"/>
                <w:sz w:val="20"/>
              </w:rPr>
              <w:t>-36.5</w:t>
            </w:r>
          </w:p>
        </w:tc>
        <w:tc>
          <w:tcPr>
            <w:tcW w:w="1787" w:type="dxa"/>
            <w:shd w:val="clear" w:color="auto" w:fill="auto"/>
            <w:noWrap/>
            <w:vAlign w:val="center"/>
            <w:hideMark/>
          </w:tcPr>
          <w:p w14:paraId="0CDE3332" w14:textId="77777777" w:rsidR="004E12B7" w:rsidRPr="00EF3E77" w:rsidRDefault="00CE562C" w:rsidP="004E12B7">
            <w:pPr>
              <w:spacing w:before="100" w:beforeAutospacing="1" w:after="100" w:afterAutospacing="1"/>
              <w:jc w:val="center"/>
              <w:rPr>
                <w:rFonts w:cs="Arial"/>
                <w:color w:val="000000"/>
                <w:sz w:val="20"/>
              </w:rPr>
            </w:pPr>
            <w:r w:rsidRPr="00EF3E77">
              <w:rPr>
                <w:rFonts w:cs="Arial"/>
                <w:color w:val="000000"/>
                <w:sz w:val="20"/>
              </w:rPr>
              <w:t>0.0</w:t>
            </w:r>
          </w:p>
        </w:tc>
      </w:tr>
      <w:tr w:rsidR="00207C08" w14:paraId="38B39A97" w14:textId="77777777" w:rsidTr="00247061">
        <w:trPr>
          <w:trHeight w:val="122"/>
        </w:trPr>
        <w:tc>
          <w:tcPr>
            <w:tcW w:w="4116" w:type="dxa"/>
            <w:shd w:val="clear" w:color="auto" w:fill="auto"/>
            <w:noWrap/>
            <w:vAlign w:val="center"/>
            <w:hideMark/>
          </w:tcPr>
          <w:p w14:paraId="24233A26" w14:textId="77777777" w:rsidR="004E12B7" w:rsidRPr="00EF3E77" w:rsidRDefault="00CE562C" w:rsidP="004E12B7">
            <w:pPr>
              <w:spacing w:before="100" w:beforeAutospacing="1" w:after="100" w:afterAutospacing="1"/>
              <w:rPr>
                <w:rFonts w:cs="Arial"/>
                <w:color w:val="000000"/>
                <w:sz w:val="20"/>
              </w:rPr>
            </w:pPr>
            <w:r w:rsidRPr="00EF3E77">
              <w:rPr>
                <w:rFonts w:cs="Arial"/>
                <w:color w:val="000000"/>
                <w:sz w:val="20"/>
              </w:rPr>
              <w:t>Bank &amp; Local Authority Deposits 2-3 years</w:t>
            </w:r>
          </w:p>
        </w:tc>
        <w:tc>
          <w:tcPr>
            <w:tcW w:w="1701" w:type="dxa"/>
            <w:shd w:val="clear" w:color="auto" w:fill="auto"/>
            <w:noWrap/>
            <w:vAlign w:val="center"/>
            <w:hideMark/>
          </w:tcPr>
          <w:p w14:paraId="767A8703" w14:textId="77777777" w:rsidR="004E12B7" w:rsidRPr="00EF3E77" w:rsidRDefault="00CE562C" w:rsidP="004E12B7">
            <w:pPr>
              <w:spacing w:before="100" w:beforeAutospacing="1" w:after="100" w:afterAutospacing="1"/>
              <w:jc w:val="center"/>
              <w:rPr>
                <w:rFonts w:cs="Arial"/>
                <w:color w:val="000000"/>
                <w:sz w:val="20"/>
              </w:rPr>
            </w:pPr>
            <w:r w:rsidRPr="00EF3E77">
              <w:rPr>
                <w:rFonts w:cs="Arial"/>
                <w:color w:val="000000"/>
                <w:sz w:val="20"/>
              </w:rPr>
              <w:t>0.0</w:t>
            </w:r>
          </w:p>
        </w:tc>
        <w:tc>
          <w:tcPr>
            <w:tcW w:w="1413" w:type="dxa"/>
            <w:shd w:val="clear" w:color="auto" w:fill="auto"/>
            <w:noWrap/>
            <w:vAlign w:val="center"/>
            <w:hideMark/>
          </w:tcPr>
          <w:p w14:paraId="559A7BAB" w14:textId="77777777" w:rsidR="004E12B7" w:rsidRPr="00EF3E77" w:rsidRDefault="00CE562C" w:rsidP="004E12B7">
            <w:pPr>
              <w:spacing w:before="100" w:beforeAutospacing="1" w:after="100" w:afterAutospacing="1"/>
              <w:jc w:val="center"/>
              <w:rPr>
                <w:rFonts w:cs="Arial"/>
                <w:color w:val="000000"/>
                <w:sz w:val="20"/>
              </w:rPr>
            </w:pPr>
            <w:r w:rsidRPr="00EF3E77">
              <w:rPr>
                <w:rFonts w:cs="Arial"/>
                <w:color w:val="000000"/>
                <w:sz w:val="20"/>
              </w:rPr>
              <w:t>1.3</w:t>
            </w:r>
          </w:p>
        </w:tc>
        <w:tc>
          <w:tcPr>
            <w:tcW w:w="1787" w:type="dxa"/>
            <w:shd w:val="clear" w:color="auto" w:fill="auto"/>
            <w:noWrap/>
            <w:vAlign w:val="center"/>
            <w:hideMark/>
          </w:tcPr>
          <w:p w14:paraId="22873972" w14:textId="77777777" w:rsidR="004E12B7" w:rsidRPr="00EF3E77" w:rsidRDefault="00CE562C" w:rsidP="004E12B7">
            <w:pPr>
              <w:spacing w:before="100" w:beforeAutospacing="1" w:after="100" w:afterAutospacing="1"/>
              <w:jc w:val="center"/>
              <w:rPr>
                <w:rFonts w:cs="Arial"/>
                <w:color w:val="000000"/>
                <w:sz w:val="20"/>
              </w:rPr>
            </w:pPr>
            <w:r w:rsidRPr="00EF3E77">
              <w:rPr>
                <w:rFonts w:cs="Arial"/>
                <w:color w:val="000000"/>
                <w:sz w:val="20"/>
              </w:rPr>
              <w:t>1.3</w:t>
            </w:r>
          </w:p>
        </w:tc>
      </w:tr>
      <w:tr w:rsidR="00207C08" w14:paraId="71F10A3F" w14:textId="77777777" w:rsidTr="00247061">
        <w:trPr>
          <w:trHeight w:val="309"/>
        </w:trPr>
        <w:tc>
          <w:tcPr>
            <w:tcW w:w="4116" w:type="dxa"/>
            <w:shd w:val="clear" w:color="auto" w:fill="auto"/>
            <w:noWrap/>
            <w:vAlign w:val="center"/>
            <w:hideMark/>
          </w:tcPr>
          <w:p w14:paraId="5D3E53F7" w14:textId="77777777" w:rsidR="004E12B7" w:rsidRPr="00EF3E77" w:rsidRDefault="00CE562C" w:rsidP="004E12B7">
            <w:pPr>
              <w:spacing w:before="100" w:beforeAutospacing="1" w:after="100" w:afterAutospacing="1"/>
              <w:rPr>
                <w:rFonts w:cs="Arial"/>
                <w:color w:val="000000"/>
                <w:sz w:val="20"/>
              </w:rPr>
            </w:pPr>
            <w:r w:rsidRPr="00EF3E77">
              <w:rPr>
                <w:rFonts w:cs="Arial"/>
                <w:color w:val="000000"/>
                <w:sz w:val="20"/>
              </w:rPr>
              <w:t>Bank &amp; Local Authority Deposits 3-5 Years</w:t>
            </w:r>
          </w:p>
        </w:tc>
        <w:tc>
          <w:tcPr>
            <w:tcW w:w="1701" w:type="dxa"/>
            <w:shd w:val="clear" w:color="auto" w:fill="auto"/>
            <w:noWrap/>
            <w:vAlign w:val="center"/>
            <w:hideMark/>
          </w:tcPr>
          <w:p w14:paraId="3B282504" w14:textId="77777777" w:rsidR="004E12B7" w:rsidRPr="00EF3E77" w:rsidRDefault="00CE562C" w:rsidP="004E12B7">
            <w:pPr>
              <w:spacing w:before="100" w:beforeAutospacing="1" w:after="100" w:afterAutospacing="1"/>
              <w:jc w:val="center"/>
              <w:rPr>
                <w:rFonts w:cs="Arial"/>
                <w:color w:val="000000"/>
                <w:sz w:val="20"/>
              </w:rPr>
            </w:pPr>
            <w:r w:rsidRPr="00EF3E77">
              <w:rPr>
                <w:rFonts w:cs="Arial"/>
                <w:color w:val="000000"/>
                <w:sz w:val="20"/>
              </w:rPr>
              <w:t>0.0</w:t>
            </w:r>
          </w:p>
        </w:tc>
        <w:tc>
          <w:tcPr>
            <w:tcW w:w="1413" w:type="dxa"/>
            <w:shd w:val="clear" w:color="auto" w:fill="auto"/>
            <w:noWrap/>
            <w:vAlign w:val="center"/>
            <w:hideMark/>
          </w:tcPr>
          <w:p w14:paraId="0E20CEB7" w14:textId="77777777" w:rsidR="004E12B7" w:rsidRPr="00EF3E77" w:rsidRDefault="00CE562C" w:rsidP="004E12B7">
            <w:pPr>
              <w:spacing w:before="100" w:beforeAutospacing="1" w:after="100" w:afterAutospacing="1"/>
              <w:jc w:val="center"/>
              <w:rPr>
                <w:rFonts w:cs="Arial"/>
                <w:color w:val="000000"/>
                <w:sz w:val="20"/>
              </w:rPr>
            </w:pPr>
            <w:r w:rsidRPr="00EF3E77">
              <w:rPr>
                <w:rFonts w:cs="Arial"/>
                <w:color w:val="000000"/>
                <w:sz w:val="20"/>
              </w:rPr>
              <w:t>0.0</w:t>
            </w:r>
          </w:p>
        </w:tc>
        <w:tc>
          <w:tcPr>
            <w:tcW w:w="1787" w:type="dxa"/>
            <w:shd w:val="clear" w:color="auto" w:fill="auto"/>
            <w:noWrap/>
            <w:vAlign w:val="center"/>
            <w:hideMark/>
          </w:tcPr>
          <w:p w14:paraId="1BA7082B" w14:textId="77777777" w:rsidR="004E12B7" w:rsidRPr="00EF3E77" w:rsidRDefault="00CE562C" w:rsidP="004E12B7">
            <w:pPr>
              <w:spacing w:before="100" w:beforeAutospacing="1" w:after="100" w:afterAutospacing="1"/>
              <w:jc w:val="center"/>
              <w:rPr>
                <w:rFonts w:cs="Arial"/>
                <w:color w:val="000000"/>
                <w:sz w:val="20"/>
              </w:rPr>
            </w:pPr>
            <w:r w:rsidRPr="00EF3E77">
              <w:rPr>
                <w:rFonts w:cs="Arial"/>
                <w:color w:val="000000"/>
                <w:sz w:val="20"/>
              </w:rPr>
              <w:t>0.0</w:t>
            </w:r>
          </w:p>
        </w:tc>
      </w:tr>
      <w:tr w:rsidR="00207C08" w14:paraId="5FF382B4" w14:textId="77777777" w:rsidTr="00247061">
        <w:trPr>
          <w:trHeight w:val="271"/>
        </w:trPr>
        <w:tc>
          <w:tcPr>
            <w:tcW w:w="4116" w:type="dxa"/>
            <w:shd w:val="clear" w:color="auto" w:fill="auto"/>
            <w:noWrap/>
            <w:vAlign w:val="center"/>
            <w:hideMark/>
          </w:tcPr>
          <w:p w14:paraId="47230EAB" w14:textId="77777777" w:rsidR="004E12B7" w:rsidRPr="00EF3E77" w:rsidRDefault="00CE562C" w:rsidP="004E12B7">
            <w:pPr>
              <w:spacing w:before="100" w:beforeAutospacing="1" w:after="100" w:afterAutospacing="1"/>
              <w:rPr>
                <w:rFonts w:cs="Arial"/>
                <w:color w:val="000000"/>
                <w:sz w:val="20"/>
              </w:rPr>
            </w:pPr>
            <w:r w:rsidRPr="00EF3E77">
              <w:rPr>
                <w:rFonts w:cs="Arial"/>
                <w:color w:val="000000"/>
                <w:sz w:val="20"/>
              </w:rPr>
              <w:t>Bank Deposit 5 Years +</w:t>
            </w:r>
          </w:p>
        </w:tc>
        <w:tc>
          <w:tcPr>
            <w:tcW w:w="1701" w:type="dxa"/>
            <w:shd w:val="clear" w:color="auto" w:fill="auto"/>
            <w:noWrap/>
            <w:vAlign w:val="center"/>
            <w:hideMark/>
          </w:tcPr>
          <w:p w14:paraId="26F692A9" w14:textId="77777777" w:rsidR="004E12B7" w:rsidRPr="00EF3E77" w:rsidRDefault="00CE562C" w:rsidP="004E12B7">
            <w:pPr>
              <w:spacing w:before="100" w:beforeAutospacing="1" w:after="100" w:afterAutospacing="1"/>
              <w:jc w:val="center"/>
              <w:rPr>
                <w:rFonts w:cs="Arial"/>
                <w:color w:val="000000"/>
                <w:sz w:val="20"/>
              </w:rPr>
            </w:pPr>
            <w:r w:rsidRPr="00EF3E77">
              <w:rPr>
                <w:rFonts w:cs="Arial"/>
                <w:color w:val="000000"/>
                <w:sz w:val="20"/>
              </w:rPr>
              <w:t>10.0</w:t>
            </w:r>
          </w:p>
        </w:tc>
        <w:tc>
          <w:tcPr>
            <w:tcW w:w="1413" w:type="dxa"/>
            <w:shd w:val="clear" w:color="auto" w:fill="auto"/>
            <w:noWrap/>
            <w:vAlign w:val="center"/>
            <w:hideMark/>
          </w:tcPr>
          <w:p w14:paraId="5C651D62" w14:textId="77777777" w:rsidR="004E12B7" w:rsidRPr="00EF3E77" w:rsidRDefault="00CE562C" w:rsidP="004E12B7">
            <w:pPr>
              <w:spacing w:before="100" w:beforeAutospacing="1" w:after="100" w:afterAutospacing="1"/>
              <w:jc w:val="center"/>
              <w:rPr>
                <w:rFonts w:cs="Arial"/>
                <w:color w:val="000000"/>
                <w:sz w:val="20"/>
              </w:rPr>
            </w:pPr>
            <w:r w:rsidRPr="00EF3E77">
              <w:rPr>
                <w:rFonts w:cs="Arial"/>
                <w:color w:val="000000"/>
                <w:sz w:val="20"/>
              </w:rPr>
              <w:t>0.0</w:t>
            </w:r>
          </w:p>
        </w:tc>
        <w:tc>
          <w:tcPr>
            <w:tcW w:w="1787" w:type="dxa"/>
            <w:shd w:val="clear" w:color="auto" w:fill="auto"/>
            <w:noWrap/>
            <w:vAlign w:val="center"/>
            <w:hideMark/>
          </w:tcPr>
          <w:p w14:paraId="2E251716" w14:textId="77777777" w:rsidR="004E12B7" w:rsidRPr="00EF3E77" w:rsidRDefault="00CE562C" w:rsidP="004E12B7">
            <w:pPr>
              <w:spacing w:before="100" w:beforeAutospacing="1" w:after="100" w:afterAutospacing="1"/>
              <w:jc w:val="center"/>
              <w:rPr>
                <w:rFonts w:cs="Arial"/>
                <w:color w:val="000000"/>
                <w:sz w:val="20"/>
              </w:rPr>
            </w:pPr>
            <w:r w:rsidRPr="00EF3E77">
              <w:rPr>
                <w:rFonts w:cs="Arial"/>
                <w:color w:val="000000"/>
                <w:sz w:val="20"/>
              </w:rPr>
              <w:t>10.0</w:t>
            </w:r>
          </w:p>
        </w:tc>
      </w:tr>
      <w:tr w:rsidR="00207C08" w14:paraId="3C2C0ECE" w14:textId="77777777" w:rsidTr="00247061">
        <w:trPr>
          <w:trHeight w:val="133"/>
        </w:trPr>
        <w:tc>
          <w:tcPr>
            <w:tcW w:w="4116" w:type="dxa"/>
            <w:shd w:val="clear" w:color="auto" w:fill="auto"/>
            <w:noWrap/>
            <w:vAlign w:val="center"/>
            <w:hideMark/>
          </w:tcPr>
          <w:p w14:paraId="1BEA19D2" w14:textId="77777777" w:rsidR="004E12B7" w:rsidRPr="00EF3E77" w:rsidRDefault="00CE562C" w:rsidP="004E12B7">
            <w:pPr>
              <w:spacing w:before="100" w:beforeAutospacing="1" w:after="100" w:afterAutospacing="1"/>
              <w:rPr>
                <w:rFonts w:cs="Arial"/>
                <w:color w:val="000000"/>
                <w:sz w:val="20"/>
              </w:rPr>
            </w:pPr>
            <w:r w:rsidRPr="00EF3E77">
              <w:rPr>
                <w:rFonts w:cs="Arial"/>
                <w:color w:val="000000"/>
                <w:sz w:val="20"/>
              </w:rPr>
              <w:t>Local Authority Bonds</w:t>
            </w:r>
          </w:p>
        </w:tc>
        <w:tc>
          <w:tcPr>
            <w:tcW w:w="1701" w:type="dxa"/>
            <w:shd w:val="clear" w:color="auto" w:fill="auto"/>
            <w:noWrap/>
            <w:vAlign w:val="center"/>
            <w:hideMark/>
          </w:tcPr>
          <w:p w14:paraId="7EED4C60" w14:textId="77777777" w:rsidR="004E12B7" w:rsidRPr="00EF3E77" w:rsidRDefault="00CE562C" w:rsidP="004E12B7">
            <w:pPr>
              <w:spacing w:before="100" w:beforeAutospacing="1" w:after="100" w:afterAutospacing="1"/>
              <w:jc w:val="center"/>
              <w:rPr>
                <w:rFonts w:cs="Arial"/>
                <w:color w:val="000000"/>
                <w:sz w:val="20"/>
              </w:rPr>
            </w:pPr>
            <w:r w:rsidRPr="00EF3E77">
              <w:rPr>
                <w:rFonts w:cs="Arial"/>
                <w:color w:val="000000"/>
                <w:sz w:val="20"/>
              </w:rPr>
              <w:t>35.9</w:t>
            </w:r>
          </w:p>
        </w:tc>
        <w:tc>
          <w:tcPr>
            <w:tcW w:w="1413" w:type="dxa"/>
            <w:shd w:val="clear" w:color="auto" w:fill="auto"/>
            <w:noWrap/>
            <w:vAlign w:val="center"/>
            <w:hideMark/>
          </w:tcPr>
          <w:p w14:paraId="7097FCD4" w14:textId="77777777" w:rsidR="004E12B7" w:rsidRPr="00EF3E77" w:rsidRDefault="00CE562C" w:rsidP="004E12B7">
            <w:pPr>
              <w:spacing w:before="100" w:beforeAutospacing="1" w:after="100" w:afterAutospacing="1"/>
              <w:jc w:val="center"/>
              <w:rPr>
                <w:rFonts w:cs="Arial"/>
                <w:color w:val="000000"/>
                <w:sz w:val="20"/>
              </w:rPr>
            </w:pPr>
            <w:r w:rsidRPr="00EF3E77">
              <w:rPr>
                <w:rFonts w:cs="Arial"/>
                <w:color w:val="000000"/>
                <w:sz w:val="20"/>
              </w:rPr>
              <w:t>-0.2</w:t>
            </w:r>
          </w:p>
        </w:tc>
        <w:tc>
          <w:tcPr>
            <w:tcW w:w="1787" w:type="dxa"/>
            <w:shd w:val="clear" w:color="auto" w:fill="auto"/>
            <w:noWrap/>
            <w:vAlign w:val="center"/>
            <w:hideMark/>
          </w:tcPr>
          <w:p w14:paraId="11CB37E5" w14:textId="20F36D2A" w:rsidR="004E12B7" w:rsidRPr="00EF3E77" w:rsidRDefault="00CE562C" w:rsidP="004E12B7">
            <w:pPr>
              <w:spacing w:before="100" w:beforeAutospacing="1" w:after="100" w:afterAutospacing="1"/>
              <w:jc w:val="center"/>
              <w:rPr>
                <w:rFonts w:cs="Arial"/>
                <w:color w:val="000000"/>
                <w:sz w:val="20"/>
              </w:rPr>
            </w:pPr>
            <w:r w:rsidRPr="00EF3E77">
              <w:rPr>
                <w:rFonts w:cs="Arial"/>
                <w:color w:val="000000"/>
                <w:sz w:val="20"/>
              </w:rPr>
              <w:t>35.</w:t>
            </w:r>
            <w:r w:rsidR="00A51DD8">
              <w:rPr>
                <w:rFonts w:cs="Arial"/>
                <w:color w:val="000000"/>
                <w:sz w:val="20"/>
              </w:rPr>
              <w:t>7</w:t>
            </w:r>
          </w:p>
        </w:tc>
      </w:tr>
      <w:tr w:rsidR="00207C08" w14:paraId="357D419A" w14:textId="77777777" w:rsidTr="00247061">
        <w:trPr>
          <w:trHeight w:val="179"/>
        </w:trPr>
        <w:tc>
          <w:tcPr>
            <w:tcW w:w="4116" w:type="dxa"/>
            <w:shd w:val="clear" w:color="auto" w:fill="auto"/>
            <w:noWrap/>
            <w:vAlign w:val="center"/>
            <w:hideMark/>
          </w:tcPr>
          <w:p w14:paraId="0140BAAC" w14:textId="77777777" w:rsidR="004E12B7" w:rsidRPr="00EF3E77" w:rsidRDefault="00CE562C" w:rsidP="004E12B7">
            <w:pPr>
              <w:spacing w:before="100" w:beforeAutospacing="1" w:after="100" w:afterAutospacing="1"/>
              <w:rPr>
                <w:rFonts w:cs="Arial"/>
                <w:color w:val="000000"/>
                <w:sz w:val="20"/>
              </w:rPr>
            </w:pPr>
            <w:r w:rsidRPr="00EF3E77">
              <w:rPr>
                <w:rFonts w:cs="Arial"/>
                <w:color w:val="000000"/>
                <w:sz w:val="20"/>
              </w:rPr>
              <w:t>UK Government and Supranational Bonds</w:t>
            </w:r>
          </w:p>
        </w:tc>
        <w:tc>
          <w:tcPr>
            <w:tcW w:w="1701" w:type="dxa"/>
            <w:shd w:val="clear" w:color="auto" w:fill="auto"/>
            <w:noWrap/>
            <w:vAlign w:val="center"/>
            <w:hideMark/>
          </w:tcPr>
          <w:p w14:paraId="2B46170D" w14:textId="77777777" w:rsidR="004E12B7" w:rsidRPr="00EF3E77" w:rsidRDefault="00CE562C" w:rsidP="004E12B7">
            <w:pPr>
              <w:spacing w:before="100" w:beforeAutospacing="1" w:after="100" w:afterAutospacing="1"/>
              <w:jc w:val="center"/>
              <w:rPr>
                <w:rFonts w:cs="Arial"/>
                <w:color w:val="000000"/>
                <w:sz w:val="20"/>
              </w:rPr>
            </w:pPr>
            <w:r w:rsidRPr="00EF3E77">
              <w:rPr>
                <w:rFonts w:cs="Arial"/>
                <w:color w:val="000000"/>
                <w:sz w:val="20"/>
              </w:rPr>
              <w:t>344.5</w:t>
            </w:r>
          </w:p>
        </w:tc>
        <w:tc>
          <w:tcPr>
            <w:tcW w:w="1413" w:type="dxa"/>
            <w:shd w:val="clear" w:color="auto" w:fill="auto"/>
            <w:noWrap/>
            <w:vAlign w:val="center"/>
            <w:hideMark/>
          </w:tcPr>
          <w:p w14:paraId="3AEF1AE7" w14:textId="77777777" w:rsidR="004E12B7" w:rsidRPr="00EF3E77" w:rsidRDefault="00CE562C" w:rsidP="004E12B7">
            <w:pPr>
              <w:spacing w:before="100" w:beforeAutospacing="1" w:after="100" w:afterAutospacing="1"/>
              <w:jc w:val="center"/>
              <w:rPr>
                <w:rFonts w:cs="Arial"/>
                <w:color w:val="000000"/>
                <w:sz w:val="20"/>
              </w:rPr>
            </w:pPr>
            <w:r w:rsidRPr="00EF3E77">
              <w:rPr>
                <w:rFonts w:cs="Arial"/>
                <w:color w:val="000000"/>
                <w:sz w:val="20"/>
              </w:rPr>
              <w:t>-183.8</w:t>
            </w:r>
          </w:p>
        </w:tc>
        <w:tc>
          <w:tcPr>
            <w:tcW w:w="1787" w:type="dxa"/>
            <w:shd w:val="clear" w:color="auto" w:fill="auto"/>
            <w:noWrap/>
            <w:vAlign w:val="center"/>
            <w:hideMark/>
          </w:tcPr>
          <w:p w14:paraId="01E7D259" w14:textId="77777777" w:rsidR="004E12B7" w:rsidRPr="00EF3E77" w:rsidRDefault="00CE562C" w:rsidP="004E12B7">
            <w:pPr>
              <w:spacing w:before="100" w:beforeAutospacing="1" w:after="100" w:afterAutospacing="1"/>
              <w:jc w:val="center"/>
              <w:rPr>
                <w:rFonts w:cs="Arial"/>
                <w:color w:val="000000"/>
                <w:sz w:val="20"/>
              </w:rPr>
            </w:pPr>
            <w:r w:rsidRPr="00EF3E77">
              <w:rPr>
                <w:rFonts w:cs="Arial"/>
                <w:color w:val="000000"/>
                <w:sz w:val="20"/>
              </w:rPr>
              <w:t>160.7</w:t>
            </w:r>
          </w:p>
        </w:tc>
      </w:tr>
      <w:tr w:rsidR="00207C08" w14:paraId="2D133BB4" w14:textId="77777777" w:rsidTr="00247061">
        <w:trPr>
          <w:trHeight w:val="225"/>
        </w:trPr>
        <w:tc>
          <w:tcPr>
            <w:tcW w:w="4116" w:type="dxa"/>
            <w:shd w:val="clear" w:color="auto" w:fill="auto"/>
            <w:noWrap/>
            <w:vAlign w:val="center"/>
            <w:hideMark/>
          </w:tcPr>
          <w:p w14:paraId="214A7D4D" w14:textId="77777777" w:rsidR="004E12B7" w:rsidRPr="00EF3E77" w:rsidRDefault="00CE562C" w:rsidP="004E12B7">
            <w:pPr>
              <w:spacing w:before="100" w:beforeAutospacing="1" w:after="100" w:afterAutospacing="1"/>
              <w:jc w:val="both"/>
              <w:rPr>
                <w:rFonts w:cs="Arial"/>
                <w:b/>
                <w:bCs/>
                <w:color w:val="000000"/>
                <w:sz w:val="20"/>
              </w:rPr>
            </w:pPr>
            <w:r w:rsidRPr="00EF3E77">
              <w:rPr>
                <w:rFonts w:cs="Arial"/>
                <w:b/>
                <w:bCs/>
                <w:color w:val="000000"/>
                <w:sz w:val="20"/>
              </w:rPr>
              <w:t>Total</w:t>
            </w:r>
          </w:p>
        </w:tc>
        <w:tc>
          <w:tcPr>
            <w:tcW w:w="1701" w:type="dxa"/>
            <w:shd w:val="clear" w:color="auto" w:fill="auto"/>
            <w:noWrap/>
            <w:vAlign w:val="center"/>
            <w:hideMark/>
          </w:tcPr>
          <w:p w14:paraId="41B5C0F9" w14:textId="77777777" w:rsidR="004E12B7" w:rsidRPr="00EF3E77" w:rsidRDefault="00CE562C" w:rsidP="004E12B7">
            <w:pPr>
              <w:spacing w:before="100" w:beforeAutospacing="1" w:after="100" w:afterAutospacing="1"/>
              <w:jc w:val="center"/>
              <w:rPr>
                <w:rFonts w:cs="Arial"/>
                <w:b/>
                <w:bCs/>
                <w:color w:val="000000"/>
                <w:sz w:val="20"/>
              </w:rPr>
            </w:pPr>
            <w:r w:rsidRPr="00EF3E77">
              <w:rPr>
                <w:rFonts w:cs="Arial"/>
                <w:b/>
                <w:bCs/>
                <w:color w:val="000000"/>
                <w:sz w:val="20"/>
              </w:rPr>
              <w:t>574.</w:t>
            </w:r>
            <w:r>
              <w:rPr>
                <w:rFonts w:cs="Arial"/>
                <w:b/>
                <w:bCs/>
                <w:color w:val="000000"/>
                <w:sz w:val="20"/>
              </w:rPr>
              <w:t>6</w:t>
            </w:r>
          </w:p>
        </w:tc>
        <w:tc>
          <w:tcPr>
            <w:tcW w:w="1413" w:type="dxa"/>
            <w:shd w:val="clear" w:color="auto" w:fill="auto"/>
            <w:noWrap/>
            <w:vAlign w:val="center"/>
            <w:hideMark/>
          </w:tcPr>
          <w:p w14:paraId="74B8EDAA" w14:textId="77777777" w:rsidR="004E12B7" w:rsidRPr="00EF3E77" w:rsidRDefault="00CE562C" w:rsidP="004E12B7">
            <w:pPr>
              <w:spacing w:before="100" w:beforeAutospacing="1" w:after="100" w:afterAutospacing="1"/>
              <w:jc w:val="center"/>
              <w:rPr>
                <w:rFonts w:cs="Arial"/>
                <w:b/>
                <w:bCs/>
                <w:color w:val="000000"/>
                <w:sz w:val="20"/>
              </w:rPr>
            </w:pPr>
            <w:r w:rsidRPr="00EF3E77">
              <w:rPr>
                <w:rFonts w:cs="Arial"/>
                <w:b/>
                <w:bCs/>
                <w:color w:val="000000"/>
                <w:sz w:val="20"/>
              </w:rPr>
              <w:t>-253.8</w:t>
            </w:r>
          </w:p>
        </w:tc>
        <w:tc>
          <w:tcPr>
            <w:tcW w:w="1787" w:type="dxa"/>
            <w:shd w:val="clear" w:color="auto" w:fill="auto"/>
            <w:noWrap/>
            <w:vAlign w:val="center"/>
            <w:hideMark/>
          </w:tcPr>
          <w:p w14:paraId="75829175" w14:textId="2C097CB9" w:rsidR="004E12B7" w:rsidRPr="00EF3E77" w:rsidRDefault="00CE562C" w:rsidP="004E12B7">
            <w:pPr>
              <w:spacing w:before="100" w:beforeAutospacing="1" w:after="100" w:afterAutospacing="1"/>
              <w:jc w:val="center"/>
              <w:rPr>
                <w:rFonts w:cs="Arial"/>
                <w:b/>
                <w:bCs/>
                <w:color w:val="000000"/>
                <w:sz w:val="20"/>
              </w:rPr>
            </w:pPr>
            <w:r w:rsidRPr="00EF3E77">
              <w:rPr>
                <w:rFonts w:cs="Arial"/>
                <w:b/>
                <w:bCs/>
                <w:color w:val="000000"/>
                <w:sz w:val="20"/>
              </w:rPr>
              <w:t>320.</w:t>
            </w:r>
            <w:r w:rsidR="00A51DD8">
              <w:rPr>
                <w:rFonts w:cs="Arial"/>
                <w:b/>
                <w:bCs/>
                <w:color w:val="000000"/>
                <w:sz w:val="20"/>
              </w:rPr>
              <w:t>8</w:t>
            </w:r>
          </w:p>
        </w:tc>
      </w:tr>
    </w:tbl>
    <w:p w14:paraId="1843D3C8" w14:textId="77777777" w:rsidR="006A2F45" w:rsidRDefault="006A2F45" w:rsidP="004E12B7">
      <w:pPr>
        <w:jc w:val="both"/>
      </w:pPr>
    </w:p>
    <w:p w14:paraId="55E62827" w14:textId="73FC1E0F" w:rsidR="004E12B7" w:rsidRPr="00DD204C" w:rsidRDefault="00CE562C" w:rsidP="004E12B7">
      <w:pPr>
        <w:jc w:val="both"/>
        <w:rPr>
          <w:rFonts w:cs="Arial"/>
          <w:color w:val="000000"/>
          <w:szCs w:val="24"/>
        </w:rPr>
      </w:pPr>
      <w:r>
        <w:t xml:space="preserve">The </w:t>
      </w:r>
      <w:r>
        <w:rPr>
          <w:rFonts w:cs="Arial"/>
          <w:color w:val="000000"/>
          <w:szCs w:val="24"/>
        </w:rPr>
        <w:t>i</w:t>
      </w:r>
      <w:r w:rsidRPr="00DD204C">
        <w:rPr>
          <w:rFonts w:cs="Arial"/>
          <w:color w:val="000000"/>
          <w:szCs w:val="24"/>
        </w:rPr>
        <w:t xml:space="preserve">nvestments are </w:t>
      </w:r>
      <w:r>
        <w:rPr>
          <w:rFonts w:cs="Arial"/>
          <w:color w:val="000000"/>
          <w:szCs w:val="24"/>
        </w:rPr>
        <w:t xml:space="preserve">considered to be </w:t>
      </w:r>
      <w:r w:rsidRPr="00DD204C">
        <w:rPr>
          <w:rFonts w:cs="Arial"/>
          <w:color w:val="000000"/>
          <w:szCs w:val="24"/>
        </w:rPr>
        <w:t xml:space="preserve">very secure, with 94% </w:t>
      </w:r>
      <w:r>
        <w:rPr>
          <w:rFonts w:cs="Arial"/>
          <w:color w:val="000000"/>
          <w:szCs w:val="24"/>
        </w:rPr>
        <w:t xml:space="preserve">credit </w:t>
      </w:r>
      <w:r w:rsidRPr="00DD204C">
        <w:rPr>
          <w:rFonts w:cs="Arial"/>
          <w:color w:val="000000"/>
          <w:szCs w:val="24"/>
        </w:rPr>
        <w:t>rated at least AA</w:t>
      </w:r>
      <w:r>
        <w:rPr>
          <w:rFonts w:cs="Arial"/>
          <w:color w:val="000000"/>
          <w:szCs w:val="24"/>
        </w:rPr>
        <w:t>-</w:t>
      </w:r>
      <w:r w:rsidRPr="00DD204C">
        <w:rPr>
          <w:rFonts w:cs="Arial"/>
          <w:color w:val="000000"/>
          <w:szCs w:val="24"/>
        </w:rPr>
        <w:t xml:space="preserve"> with the others rated at </w:t>
      </w:r>
      <w:r>
        <w:rPr>
          <w:rFonts w:cs="Arial"/>
          <w:color w:val="000000"/>
          <w:szCs w:val="24"/>
        </w:rPr>
        <w:t xml:space="preserve">A+. </w:t>
      </w:r>
      <w:r w:rsidRPr="00DD204C">
        <w:rPr>
          <w:rFonts w:cs="Arial"/>
          <w:color w:val="000000"/>
          <w:szCs w:val="24"/>
        </w:rPr>
        <w:t>The average credit score is well within the policy limit.</w:t>
      </w:r>
    </w:p>
    <w:p w14:paraId="799F501C" w14:textId="77777777" w:rsidR="004E12B7" w:rsidRPr="00DD204C" w:rsidRDefault="009B446A" w:rsidP="004E12B7">
      <w:pPr>
        <w:ind w:right="-153"/>
        <w:jc w:val="both"/>
        <w:rPr>
          <w:rFonts w:cs="Arial"/>
          <w:color w:val="000000"/>
          <w:szCs w:val="24"/>
        </w:rPr>
      </w:pPr>
    </w:p>
    <w:p w14:paraId="6FD12A3F" w14:textId="7D205500" w:rsidR="004E12B7" w:rsidRPr="00BD682D" w:rsidRDefault="00CE562C" w:rsidP="004E12B7">
      <w:pPr>
        <w:jc w:val="both"/>
      </w:pPr>
      <w:r w:rsidRPr="00DD204C">
        <w:t>Security of capital remained the</w:t>
      </w:r>
      <w:r>
        <w:t xml:space="preserve"> c</w:t>
      </w:r>
      <w:r w:rsidRPr="00DD204C">
        <w:t xml:space="preserve">ouncil’s main investment objective.  This was maintained by following the </w:t>
      </w:r>
      <w:r>
        <w:t>c</w:t>
      </w:r>
      <w:r w:rsidRPr="00DD204C">
        <w:t>ouncil’s Counterparty Policy, as set out in its Treasury Management Strategy Statement for 2017/18. This defined “high credit quality” organisations as those having a minimum long</w:t>
      </w:r>
      <w:r w:rsidRPr="00BD682D">
        <w:t>-term credit rating of A+</w:t>
      </w:r>
      <w:r w:rsidR="006A2F45">
        <w:t>.</w:t>
      </w:r>
      <w:r w:rsidRPr="00BD682D">
        <w:t xml:space="preserve"> In practice the average credit rating in 2017/18 was higher at AA.  </w:t>
      </w:r>
    </w:p>
    <w:p w14:paraId="464E9844" w14:textId="77777777" w:rsidR="004E12B7" w:rsidRPr="00BD682D" w:rsidRDefault="009B446A" w:rsidP="004E12B7">
      <w:pPr>
        <w:jc w:val="both"/>
      </w:pPr>
    </w:p>
    <w:p w14:paraId="50343966" w14:textId="77777777" w:rsidR="004E12B7" w:rsidRDefault="00CE562C" w:rsidP="004E12B7">
      <w:pPr>
        <w:jc w:val="both"/>
      </w:pPr>
      <w:r w:rsidRPr="00BD682D">
        <w:t>Investments with banks were held in call accounts only. Any longer term deposits have been restricted to other local authorities.</w:t>
      </w:r>
    </w:p>
    <w:p w14:paraId="7E8AEFF1" w14:textId="77777777" w:rsidR="00754FA4" w:rsidRDefault="009B446A" w:rsidP="004E12B7">
      <w:pPr>
        <w:jc w:val="both"/>
      </w:pPr>
    </w:p>
    <w:p w14:paraId="3323F45A" w14:textId="77777777" w:rsidR="00754FA4" w:rsidRPr="00247061" w:rsidRDefault="00CE562C" w:rsidP="00754FA4">
      <w:pPr>
        <w:jc w:val="both"/>
        <w:rPr>
          <w:i/>
          <w:szCs w:val="24"/>
        </w:rPr>
      </w:pPr>
      <w:r w:rsidRPr="00247061">
        <w:rPr>
          <w:i/>
          <w:szCs w:val="24"/>
        </w:rPr>
        <w:t>Credit Risk Comparisons</w:t>
      </w:r>
    </w:p>
    <w:p w14:paraId="0561E7A8" w14:textId="77777777" w:rsidR="00754FA4" w:rsidRPr="00B60713" w:rsidRDefault="009B446A" w:rsidP="00754FA4">
      <w:pPr>
        <w:jc w:val="both"/>
        <w:rPr>
          <w:szCs w:val="24"/>
        </w:rPr>
      </w:pPr>
    </w:p>
    <w:p w14:paraId="1800CC09" w14:textId="6C7FE48F" w:rsidR="00754FA4" w:rsidRDefault="00CE562C" w:rsidP="00754FA4">
      <w:pPr>
        <w:jc w:val="both"/>
        <w:rPr>
          <w:szCs w:val="24"/>
        </w:rPr>
      </w:pPr>
      <w:r w:rsidRPr="00B60713">
        <w:rPr>
          <w:szCs w:val="24"/>
        </w:rPr>
        <w:t xml:space="preserve">The </w:t>
      </w:r>
      <w:r>
        <w:rPr>
          <w:szCs w:val="24"/>
        </w:rPr>
        <w:t>following chart shows the credit risk scores of all Arlingclose clients</w:t>
      </w:r>
      <w:r w:rsidRPr="00B60713">
        <w:rPr>
          <w:szCs w:val="24"/>
        </w:rPr>
        <w:t xml:space="preserve">. This comparison shows that at 31 March 2018 the </w:t>
      </w:r>
      <w:r>
        <w:rPr>
          <w:szCs w:val="24"/>
        </w:rPr>
        <w:t>c</w:t>
      </w:r>
      <w:r w:rsidRPr="00B60713">
        <w:rPr>
          <w:szCs w:val="24"/>
        </w:rPr>
        <w:t xml:space="preserve">ouncil has one of the lowest credit risk scores </w:t>
      </w:r>
      <w:r>
        <w:rPr>
          <w:szCs w:val="24"/>
        </w:rPr>
        <w:t>in this population along with one of the best returns</w:t>
      </w:r>
      <w:r w:rsidRPr="00B60713">
        <w:rPr>
          <w:szCs w:val="24"/>
        </w:rPr>
        <w:t xml:space="preserve">. </w:t>
      </w:r>
    </w:p>
    <w:p w14:paraId="71A02AFE" w14:textId="77777777" w:rsidR="00754FA4" w:rsidRDefault="009B446A" w:rsidP="00754FA4">
      <w:pPr>
        <w:jc w:val="both"/>
        <w:rPr>
          <w:szCs w:val="24"/>
          <w:highlight w:val="yellow"/>
        </w:rPr>
      </w:pPr>
    </w:p>
    <w:p w14:paraId="289E352E" w14:textId="77777777" w:rsidR="00754FA4" w:rsidRPr="00BD682D" w:rsidRDefault="00CE562C" w:rsidP="00754FA4">
      <w:pPr>
        <w:jc w:val="both"/>
      </w:pPr>
      <w:r>
        <w:rPr>
          <w:szCs w:val="24"/>
        </w:rPr>
        <w:t xml:space="preserve">           </w:t>
      </w:r>
      <w:r w:rsidRPr="00CB1758">
        <w:rPr>
          <w:noProof/>
          <w:szCs w:val="24"/>
        </w:rPr>
        <w:drawing>
          <wp:inline distT="0" distB="0" distL="0" distR="0" wp14:anchorId="0164EFC5" wp14:editId="184F0933">
            <wp:extent cx="4855869" cy="23622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63675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890858" cy="2379221"/>
                    </a:xfrm>
                    <a:prstGeom prst="rect">
                      <a:avLst/>
                    </a:prstGeom>
                    <a:noFill/>
                    <a:ln>
                      <a:noFill/>
                    </a:ln>
                  </pic:spPr>
                </pic:pic>
              </a:graphicData>
            </a:graphic>
          </wp:inline>
        </w:drawing>
      </w:r>
      <w:r w:rsidRPr="00B42A9B">
        <w:rPr>
          <w:szCs w:val="24"/>
        </w:rPr>
        <w:t xml:space="preserve">                  </w:t>
      </w:r>
    </w:p>
    <w:p w14:paraId="586AF68F" w14:textId="77777777" w:rsidR="004E12B7" w:rsidRPr="00B06B0C" w:rsidRDefault="009B446A" w:rsidP="004E12B7">
      <w:pPr>
        <w:ind w:right="-153"/>
        <w:jc w:val="both"/>
        <w:rPr>
          <w:b/>
          <w:highlight w:val="yellow"/>
        </w:rPr>
      </w:pPr>
    </w:p>
    <w:p w14:paraId="1A81A56B" w14:textId="77777777" w:rsidR="004E12B7" w:rsidRPr="00247061" w:rsidRDefault="00CE562C" w:rsidP="004E12B7">
      <w:pPr>
        <w:keepNext/>
        <w:widowControl w:val="0"/>
        <w:jc w:val="both"/>
        <w:rPr>
          <w:i/>
        </w:rPr>
      </w:pPr>
      <w:r w:rsidRPr="00247061">
        <w:rPr>
          <w:i/>
        </w:rPr>
        <w:t>Liquidity Management</w:t>
      </w:r>
    </w:p>
    <w:p w14:paraId="7AB3A8B3" w14:textId="77777777" w:rsidR="004E12B7" w:rsidRPr="00633E34" w:rsidRDefault="009B446A" w:rsidP="004E12B7">
      <w:pPr>
        <w:keepNext/>
        <w:widowControl w:val="0"/>
        <w:jc w:val="both"/>
        <w:rPr>
          <w:b/>
        </w:rPr>
      </w:pPr>
    </w:p>
    <w:p w14:paraId="595BC905" w14:textId="77777777" w:rsidR="004E12B7" w:rsidRPr="00633E34" w:rsidRDefault="00CE562C" w:rsidP="004E12B7">
      <w:pPr>
        <w:autoSpaceDE w:val="0"/>
        <w:autoSpaceDN w:val="0"/>
        <w:adjustRightInd w:val="0"/>
        <w:jc w:val="both"/>
        <w:rPr>
          <w:rFonts w:cs="Arial"/>
          <w:szCs w:val="24"/>
        </w:rPr>
      </w:pPr>
      <w:r w:rsidRPr="00633E34">
        <w:rPr>
          <w:rFonts w:cs="Arial"/>
        </w:rPr>
        <w:t>In keeping with</w:t>
      </w:r>
      <w:r>
        <w:rPr>
          <w:rFonts w:cs="Arial"/>
        </w:rPr>
        <w:t xml:space="preserve"> the</w:t>
      </w:r>
      <w:r w:rsidRPr="00633E34">
        <w:rPr>
          <w:rFonts w:cs="Arial"/>
        </w:rPr>
        <w:t xml:space="preserve"> </w:t>
      </w:r>
      <w:r>
        <w:rPr>
          <w:rFonts w:cs="Arial"/>
        </w:rPr>
        <w:t>regulatory g</w:t>
      </w:r>
      <w:r w:rsidRPr="00633E34">
        <w:rPr>
          <w:rFonts w:cs="Arial"/>
        </w:rPr>
        <w:t xml:space="preserve">uidance on </w:t>
      </w:r>
      <w:r>
        <w:rPr>
          <w:rFonts w:cs="Arial"/>
        </w:rPr>
        <w:t>i</w:t>
      </w:r>
      <w:r w:rsidRPr="00633E34">
        <w:rPr>
          <w:rFonts w:cs="Arial"/>
        </w:rPr>
        <w:t>nvestments, the</w:t>
      </w:r>
      <w:r>
        <w:rPr>
          <w:rFonts w:cs="Arial"/>
        </w:rPr>
        <w:t xml:space="preserve"> c</w:t>
      </w:r>
      <w:r w:rsidRPr="00633E34">
        <w:rPr>
          <w:rFonts w:cs="Arial"/>
        </w:rPr>
        <w:t xml:space="preserve">ouncil maintained a minimum level of primary liquidity through the use of </w:t>
      </w:r>
      <w:r>
        <w:rPr>
          <w:rFonts w:cs="Arial"/>
        </w:rPr>
        <w:t>'</w:t>
      </w:r>
      <w:r w:rsidRPr="00633E34">
        <w:rPr>
          <w:rFonts w:cs="Arial"/>
        </w:rPr>
        <w:t>Call Accounts</w:t>
      </w:r>
      <w:r>
        <w:rPr>
          <w:rFonts w:cs="Arial"/>
        </w:rPr>
        <w:t>'</w:t>
      </w:r>
      <w:r w:rsidRPr="00633E34">
        <w:rPr>
          <w:rFonts w:cs="Arial"/>
        </w:rPr>
        <w:t xml:space="preserve">. The </w:t>
      </w:r>
      <w:r>
        <w:rPr>
          <w:rFonts w:cs="Arial"/>
        </w:rPr>
        <w:t>c</w:t>
      </w:r>
      <w:r w:rsidRPr="00633E34">
        <w:rPr>
          <w:rFonts w:cs="Arial"/>
        </w:rPr>
        <w:t>ouncil also has</w:t>
      </w:r>
      <w:r w:rsidRPr="00633E34">
        <w:rPr>
          <w:rFonts w:cs="Arial"/>
          <w:szCs w:val="24"/>
        </w:rPr>
        <w:t xml:space="preserve"> bond portfolios which are available for sale, at current market prices, if needed as </w:t>
      </w:r>
      <w:r>
        <w:rPr>
          <w:rFonts w:cs="Arial"/>
          <w:szCs w:val="24"/>
        </w:rPr>
        <w:t>'</w:t>
      </w:r>
      <w:r w:rsidRPr="00633E34">
        <w:rPr>
          <w:rFonts w:cs="Arial"/>
          <w:szCs w:val="24"/>
        </w:rPr>
        <w:t>secondary</w:t>
      </w:r>
      <w:r>
        <w:rPr>
          <w:rFonts w:cs="Arial"/>
          <w:szCs w:val="24"/>
        </w:rPr>
        <w:t>'</w:t>
      </w:r>
      <w:r w:rsidRPr="00633E34">
        <w:rPr>
          <w:rFonts w:cs="Arial"/>
          <w:szCs w:val="24"/>
        </w:rPr>
        <w:t xml:space="preserve"> liquidity.</w:t>
      </w:r>
    </w:p>
    <w:p w14:paraId="313BB788" w14:textId="77777777" w:rsidR="004E12B7" w:rsidRPr="00633E34" w:rsidRDefault="009B446A" w:rsidP="004E12B7">
      <w:pPr>
        <w:autoSpaceDE w:val="0"/>
        <w:autoSpaceDN w:val="0"/>
        <w:adjustRightInd w:val="0"/>
        <w:jc w:val="both"/>
        <w:rPr>
          <w:rFonts w:cs="Arial"/>
          <w:szCs w:val="24"/>
        </w:rPr>
      </w:pPr>
    </w:p>
    <w:p w14:paraId="5AFCB9C4" w14:textId="77777777" w:rsidR="004E12B7" w:rsidRPr="00633E34" w:rsidRDefault="00CE562C" w:rsidP="004E12B7">
      <w:pPr>
        <w:autoSpaceDE w:val="0"/>
        <w:autoSpaceDN w:val="0"/>
        <w:adjustRightInd w:val="0"/>
        <w:jc w:val="both"/>
        <w:rPr>
          <w:rFonts w:cs="Arial"/>
        </w:rPr>
      </w:pPr>
      <w:r>
        <w:rPr>
          <w:rFonts w:cs="Arial"/>
        </w:rPr>
        <w:t>C</w:t>
      </w:r>
      <w:r w:rsidRPr="00633E34">
        <w:rPr>
          <w:rFonts w:cs="Arial"/>
        </w:rPr>
        <w:t>ash flow forecasting spreadsheets</w:t>
      </w:r>
      <w:r>
        <w:rPr>
          <w:rFonts w:cs="Arial"/>
        </w:rPr>
        <w:t xml:space="preserve"> are used</w:t>
      </w:r>
      <w:r w:rsidRPr="00633E34">
        <w:rPr>
          <w:rFonts w:cs="Arial"/>
        </w:rPr>
        <w:t xml:space="preserve"> to determine the maximum period for which funds may prudently be committed</w:t>
      </w:r>
      <w:r>
        <w:rPr>
          <w:rFonts w:cs="Arial"/>
        </w:rPr>
        <w:t xml:space="preserve"> allowing the council to meet its payment obligations</w:t>
      </w:r>
      <w:r w:rsidRPr="00633E34">
        <w:rPr>
          <w:rFonts w:cs="Arial"/>
        </w:rPr>
        <w:t xml:space="preserve">. </w:t>
      </w:r>
    </w:p>
    <w:p w14:paraId="2C6F7A7B" w14:textId="77777777" w:rsidR="004E12B7" w:rsidRPr="00B06B0C" w:rsidRDefault="009B446A" w:rsidP="004E12B7">
      <w:pPr>
        <w:jc w:val="both"/>
        <w:rPr>
          <w:rFonts w:ascii="Trebuchet MS" w:hAnsi="Trebuchet MS" w:cs="Trebuchet MS"/>
          <w:sz w:val="20"/>
          <w:highlight w:val="yellow"/>
        </w:rPr>
      </w:pPr>
    </w:p>
    <w:p w14:paraId="4BBA9833" w14:textId="77777777" w:rsidR="004E12B7" w:rsidRPr="00247061" w:rsidRDefault="00CE562C" w:rsidP="004E12B7">
      <w:pPr>
        <w:keepNext/>
        <w:widowControl w:val="0"/>
        <w:spacing w:after="120"/>
        <w:jc w:val="both"/>
        <w:rPr>
          <w:i/>
        </w:rPr>
      </w:pPr>
      <w:r w:rsidRPr="00247061">
        <w:rPr>
          <w:i/>
        </w:rPr>
        <w:t xml:space="preserve">Yield </w:t>
      </w:r>
    </w:p>
    <w:p w14:paraId="506DBC5C" w14:textId="77777777" w:rsidR="004E12B7" w:rsidRPr="003F7978" w:rsidRDefault="00CE562C" w:rsidP="004E12B7">
      <w:pPr>
        <w:jc w:val="both"/>
        <w:rPr>
          <w:rFonts w:cs="Arial"/>
        </w:rPr>
      </w:pPr>
      <w:r w:rsidRPr="003F7978">
        <w:rPr>
          <w:rFonts w:cs="Arial"/>
        </w:rPr>
        <w:t xml:space="preserve">The rates of return on the </w:t>
      </w:r>
      <w:r>
        <w:rPr>
          <w:rFonts w:cs="Arial"/>
        </w:rPr>
        <w:t xml:space="preserve">council's </w:t>
      </w:r>
      <w:r w:rsidRPr="003F7978">
        <w:rPr>
          <w:rFonts w:cs="Arial"/>
        </w:rPr>
        <w:t xml:space="preserve">short-dated money market investments reflect prevailing market conditions and the objective of optimising returns commensurate with the principles of security and liquidity. </w:t>
      </w:r>
    </w:p>
    <w:p w14:paraId="1CDFFB7A" w14:textId="77777777" w:rsidR="004E12B7" w:rsidRPr="003F7978" w:rsidRDefault="009B446A" w:rsidP="004E12B7">
      <w:pPr>
        <w:jc w:val="both"/>
        <w:rPr>
          <w:rFonts w:cs="Arial"/>
          <w:sz w:val="20"/>
        </w:rPr>
      </w:pPr>
    </w:p>
    <w:p w14:paraId="57BF39EE" w14:textId="77777777" w:rsidR="004E12B7" w:rsidRPr="003F7978" w:rsidRDefault="00CE562C" w:rsidP="004E12B7">
      <w:pPr>
        <w:jc w:val="both"/>
        <w:rPr>
          <w:rFonts w:cs="Arial"/>
        </w:rPr>
      </w:pPr>
      <w:r w:rsidRPr="003F7978">
        <w:rPr>
          <w:rFonts w:cs="Arial"/>
        </w:rPr>
        <w:t xml:space="preserve">Overall the investment portfolio returned an average rate of 2.3% in 2017/18 which can be attributed to the categories as follows: </w:t>
      </w:r>
    </w:p>
    <w:p w14:paraId="5E1E4BA8" w14:textId="77777777" w:rsidR="004E12B7" w:rsidRPr="00B06B0C" w:rsidRDefault="00CE562C" w:rsidP="004E12B7">
      <w:pPr>
        <w:jc w:val="both"/>
        <w:rPr>
          <w:highlight w:val="yellow"/>
        </w:rPr>
      </w:pPr>
      <w:r w:rsidRPr="00B06B0C">
        <w:rPr>
          <w:highlight w:val="yellow"/>
        </w:rPr>
        <w:t xml:space="preserve"> </w:t>
      </w:r>
    </w:p>
    <w:tbl>
      <w:tblPr>
        <w:tblW w:w="87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2449"/>
        <w:gridCol w:w="1985"/>
      </w:tblGrid>
      <w:tr w:rsidR="00207C08" w14:paraId="001D2EF8" w14:textId="77777777" w:rsidTr="006A2F45">
        <w:trPr>
          <w:trHeight w:val="219"/>
        </w:trPr>
        <w:tc>
          <w:tcPr>
            <w:tcW w:w="4360" w:type="dxa"/>
            <w:shd w:val="clear" w:color="auto" w:fill="auto"/>
            <w:noWrap/>
            <w:vAlign w:val="center"/>
            <w:hideMark/>
          </w:tcPr>
          <w:p w14:paraId="4B4950F6" w14:textId="77777777" w:rsidR="004E12B7" w:rsidRPr="003F7978" w:rsidRDefault="009B446A" w:rsidP="004E12B7">
            <w:pPr>
              <w:rPr>
                <w:rFonts w:cs="Arial"/>
                <w:b/>
                <w:bCs/>
                <w:color w:val="000000"/>
                <w:sz w:val="20"/>
              </w:rPr>
            </w:pPr>
          </w:p>
        </w:tc>
        <w:tc>
          <w:tcPr>
            <w:tcW w:w="2449" w:type="dxa"/>
            <w:shd w:val="clear" w:color="auto" w:fill="auto"/>
            <w:noWrap/>
            <w:vAlign w:val="center"/>
            <w:hideMark/>
          </w:tcPr>
          <w:p w14:paraId="56B3BA8B" w14:textId="77777777" w:rsidR="004E12B7" w:rsidRPr="003F7978" w:rsidRDefault="00CE562C" w:rsidP="004E12B7">
            <w:pPr>
              <w:jc w:val="center"/>
              <w:rPr>
                <w:rFonts w:cs="Arial"/>
                <w:b/>
                <w:bCs/>
                <w:color w:val="000000"/>
                <w:sz w:val="20"/>
              </w:rPr>
            </w:pPr>
            <w:r w:rsidRPr="003F7978">
              <w:rPr>
                <w:rFonts w:cs="Arial"/>
                <w:b/>
                <w:bCs/>
                <w:color w:val="000000"/>
                <w:sz w:val="20"/>
              </w:rPr>
              <w:t xml:space="preserve">Average </w:t>
            </w:r>
            <w:r>
              <w:rPr>
                <w:rFonts w:cs="Arial"/>
                <w:b/>
                <w:bCs/>
                <w:color w:val="000000"/>
                <w:sz w:val="20"/>
              </w:rPr>
              <w:t>Balance</w:t>
            </w:r>
            <w:r w:rsidRPr="003F7978">
              <w:rPr>
                <w:rFonts w:cs="Arial"/>
                <w:b/>
                <w:bCs/>
                <w:color w:val="000000"/>
                <w:sz w:val="20"/>
              </w:rPr>
              <w:t xml:space="preserve"> £m</w:t>
            </w:r>
          </w:p>
        </w:tc>
        <w:tc>
          <w:tcPr>
            <w:tcW w:w="1985" w:type="dxa"/>
            <w:shd w:val="clear" w:color="auto" w:fill="auto"/>
            <w:noWrap/>
            <w:vAlign w:val="center"/>
            <w:hideMark/>
          </w:tcPr>
          <w:p w14:paraId="480843C8" w14:textId="77777777" w:rsidR="004E12B7" w:rsidRPr="003F7978" w:rsidRDefault="00CE562C" w:rsidP="004E12B7">
            <w:pPr>
              <w:jc w:val="center"/>
              <w:rPr>
                <w:rFonts w:cs="Arial"/>
                <w:b/>
                <w:bCs/>
                <w:color w:val="000000"/>
                <w:sz w:val="20"/>
              </w:rPr>
            </w:pPr>
            <w:r w:rsidRPr="003F7978">
              <w:rPr>
                <w:rFonts w:cs="Arial"/>
                <w:b/>
                <w:bCs/>
                <w:color w:val="000000"/>
                <w:sz w:val="20"/>
              </w:rPr>
              <w:t>Average Rate</w:t>
            </w:r>
          </w:p>
        </w:tc>
      </w:tr>
      <w:tr w:rsidR="00207C08" w14:paraId="313A997D" w14:textId="77777777" w:rsidTr="006A2F45">
        <w:trPr>
          <w:trHeight w:val="50"/>
        </w:trPr>
        <w:tc>
          <w:tcPr>
            <w:tcW w:w="4360" w:type="dxa"/>
            <w:shd w:val="clear" w:color="auto" w:fill="auto"/>
            <w:noWrap/>
            <w:vAlign w:val="center"/>
            <w:hideMark/>
          </w:tcPr>
          <w:p w14:paraId="7A9F955D" w14:textId="77777777" w:rsidR="004E12B7" w:rsidRPr="003F7978" w:rsidRDefault="00CE562C" w:rsidP="004E12B7">
            <w:pPr>
              <w:rPr>
                <w:rFonts w:cs="Arial"/>
                <w:color w:val="000000"/>
                <w:sz w:val="20"/>
              </w:rPr>
            </w:pPr>
            <w:r w:rsidRPr="003F7978">
              <w:rPr>
                <w:rFonts w:cs="Arial"/>
                <w:color w:val="000000"/>
                <w:sz w:val="20"/>
              </w:rPr>
              <w:t>Call, M</w:t>
            </w:r>
            <w:r>
              <w:rPr>
                <w:rFonts w:cs="Arial"/>
                <w:color w:val="000000"/>
                <w:sz w:val="20"/>
              </w:rPr>
              <w:t xml:space="preserve">oney </w:t>
            </w:r>
            <w:r w:rsidRPr="003F7978">
              <w:rPr>
                <w:rFonts w:cs="Arial"/>
                <w:color w:val="000000"/>
                <w:sz w:val="20"/>
              </w:rPr>
              <w:t>M</w:t>
            </w:r>
            <w:r>
              <w:rPr>
                <w:rFonts w:cs="Arial"/>
                <w:color w:val="000000"/>
                <w:sz w:val="20"/>
              </w:rPr>
              <w:t xml:space="preserve">arket </w:t>
            </w:r>
            <w:r w:rsidRPr="003F7978">
              <w:rPr>
                <w:rFonts w:cs="Arial"/>
                <w:color w:val="000000"/>
                <w:sz w:val="20"/>
              </w:rPr>
              <w:t>F</w:t>
            </w:r>
            <w:r>
              <w:rPr>
                <w:rFonts w:cs="Arial"/>
                <w:color w:val="000000"/>
                <w:sz w:val="20"/>
              </w:rPr>
              <w:t>unds</w:t>
            </w:r>
            <w:r w:rsidRPr="003F7978">
              <w:rPr>
                <w:rFonts w:cs="Arial"/>
                <w:color w:val="000000"/>
                <w:sz w:val="20"/>
              </w:rPr>
              <w:t xml:space="preserve"> &amp; Under 1 year</w:t>
            </w:r>
          </w:p>
        </w:tc>
        <w:tc>
          <w:tcPr>
            <w:tcW w:w="2449" w:type="dxa"/>
            <w:shd w:val="clear" w:color="auto" w:fill="auto"/>
            <w:noWrap/>
            <w:vAlign w:val="center"/>
            <w:hideMark/>
          </w:tcPr>
          <w:p w14:paraId="5732169C" w14:textId="77777777" w:rsidR="004E12B7" w:rsidRPr="003F7978" w:rsidRDefault="00CE562C" w:rsidP="004E12B7">
            <w:pPr>
              <w:jc w:val="center"/>
              <w:rPr>
                <w:rFonts w:cs="Arial"/>
                <w:color w:val="000000"/>
                <w:sz w:val="20"/>
              </w:rPr>
            </w:pPr>
            <w:r w:rsidRPr="003F7978">
              <w:rPr>
                <w:rFonts w:cs="Arial"/>
                <w:color w:val="000000"/>
                <w:sz w:val="20"/>
              </w:rPr>
              <w:t>164.5</w:t>
            </w:r>
          </w:p>
        </w:tc>
        <w:tc>
          <w:tcPr>
            <w:tcW w:w="1985" w:type="dxa"/>
            <w:shd w:val="clear" w:color="auto" w:fill="auto"/>
            <w:noWrap/>
            <w:vAlign w:val="center"/>
            <w:hideMark/>
          </w:tcPr>
          <w:p w14:paraId="379A3045" w14:textId="77777777" w:rsidR="004E12B7" w:rsidRPr="003F7978" w:rsidRDefault="00CE562C" w:rsidP="004E12B7">
            <w:pPr>
              <w:jc w:val="center"/>
              <w:rPr>
                <w:rFonts w:cs="Arial"/>
                <w:color w:val="000000"/>
                <w:sz w:val="20"/>
              </w:rPr>
            </w:pPr>
            <w:r w:rsidRPr="003F7978">
              <w:rPr>
                <w:rFonts w:cs="Arial"/>
                <w:color w:val="000000"/>
                <w:sz w:val="20"/>
              </w:rPr>
              <w:t>0.50%</w:t>
            </w:r>
          </w:p>
        </w:tc>
      </w:tr>
      <w:tr w:rsidR="00207C08" w14:paraId="28BBBA93" w14:textId="77777777" w:rsidTr="006A2F45">
        <w:trPr>
          <w:trHeight w:val="129"/>
        </w:trPr>
        <w:tc>
          <w:tcPr>
            <w:tcW w:w="4360" w:type="dxa"/>
            <w:shd w:val="clear" w:color="auto" w:fill="auto"/>
            <w:noWrap/>
            <w:vAlign w:val="center"/>
            <w:hideMark/>
          </w:tcPr>
          <w:p w14:paraId="301F22C2" w14:textId="77777777" w:rsidR="004E12B7" w:rsidRPr="003F7978" w:rsidRDefault="00CE562C" w:rsidP="004E12B7">
            <w:pPr>
              <w:rPr>
                <w:rFonts w:cs="Arial"/>
                <w:color w:val="000000"/>
                <w:sz w:val="20"/>
              </w:rPr>
            </w:pPr>
            <w:r w:rsidRPr="003F7978">
              <w:rPr>
                <w:rFonts w:cs="Arial"/>
                <w:color w:val="000000"/>
                <w:sz w:val="20"/>
              </w:rPr>
              <w:t>Bank &amp; Local Authority Deposits 1-2 years</w:t>
            </w:r>
          </w:p>
        </w:tc>
        <w:tc>
          <w:tcPr>
            <w:tcW w:w="2449" w:type="dxa"/>
            <w:shd w:val="clear" w:color="auto" w:fill="auto"/>
            <w:noWrap/>
            <w:vAlign w:val="center"/>
            <w:hideMark/>
          </w:tcPr>
          <w:p w14:paraId="358537DB" w14:textId="77777777" w:rsidR="004E12B7" w:rsidRPr="003F7978" w:rsidRDefault="00CE562C" w:rsidP="004E12B7">
            <w:pPr>
              <w:jc w:val="center"/>
              <w:rPr>
                <w:rFonts w:cs="Arial"/>
                <w:color w:val="000000"/>
                <w:sz w:val="20"/>
              </w:rPr>
            </w:pPr>
            <w:r w:rsidRPr="003F7978">
              <w:rPr>
                <w:rFonts w:cs="Arial"/>
                <w:color w:val="000000"/>
                <w:sz w:val="20"/>
              </w:rPr>
              <w:t>0.0</w:t>
            </w:r>
          </w:p>
        </w:tc>
        <w:tc>
          <w:tcPr>
            <w:tcW w:w="1985" w:type="dxa"/>
            <w:shd w:val="clear" w:color="auto" w:fill="auto"/>
            <w:noWrap/>
            <w:vAlign w:val="center"/>
            <w:hideMark/>
          </w:tcPr>
          <w:p w14:paraId="52BC9C0F" w14:textId="77777777" w:rsidR="004E12B7" w:rsidRPr="003F7978" w:rsidRDefault="00CE562C" w:rsidP="004E12B7">
            <w:pPr>
              <w:jc w:val="center"/>
              <w:rPr>
                <w:rFonts w:cs="Arial"/>
                <w:color w:val="000000"/>
                <w:sz w:val="20"/>
              </w:rPr>
            </w:pPr>
            <w:r w:rsidRPr="003F7978">
              <w:rPr>
                <w:rFonts w:cs="Arial"/>
                <w:color w:val="000000"/>
                <w:sz w:val="20"/>
              </w:rPr>
              <w:t>0.00%</w:t>
            </w:r>
          </w:p>
        </w:tc>
      </w:tr>
      <w:tr w:rsidR="00207C08" w14:paraId="7868D86B" w14:textId="77777777" w:rsidTr="006A2F45">
        <w:trPr>
          <w:trHeight w:val="233"/>
        </w:trPr>
        <w:tc>
          <w:tcPr>
            <w:tcW w:w="4360" w:type="dxa"/>
            <w:shd w:val="clear" w:color="auto" w:fill="auto"/>
            <w:noWrap/>
            <w:vAlign w:val="center"/>
            <w:hideMark/>
          </w:tcPr>
          <w:p w14:paraId="44F16C0C" w14:textId="77777777" w:rsidR="004E12B7" w:rsidRPr="003F7978" w:rsidRDefault="00CE562C" w:rsidP="004E12B7">
            <w:pPr>
              <w:rPr>
                <w:rFonts w:cs="Arial"/>
                <w:color w:val="000000"/>
                <w:sz w:val="20"/>
              </w:rPr>
            </w:pPr>
            <w:r w:rsidRPr="003F7978">
              <w:rPr>
                <w:rFonts w:cs="Arial"/>
                <w:color w:val="000000"/>
                <w:sz w:val="20"/>
              </w:rPr>
              <w:t>Bank &amp; Local Authority Deposits 2-3 years</w:t>
            </w:r>
          </w:p>
        </w:tc>
        <w:tc>
          <w:tcPr>
            <w:tcW w:w="2449" w:type="dxa"/>
            <w:shd w:val="clear" w:color="auto" w:fill="auto"/>
            <w:noWrap/>
            <w:vAlign w:val="center"/>
            <w:hideMark/>
          </w:tcPr>
          <w:p w14:paraId="7CCAEF9B" w14:textId="77777777" w:rsidR="004E12B7" w:rsidRPr="003F7978" w:rsidRDefault="00CE562C" w:rsidP="004E12B7">
            <w:pPr>
              <w:jc w:val="center"/>
              <w:rPr>
                <w:rFonts w:cs="Arial"/>
                <w:color w:val="000000"/>
                <w:sz w:val="20"/>
              </w:rPr>
            </w:pPr>
            <w:r w:rsidRPr="003F7978">
              <w:rPr>
                <w:rFonts w:cs="Arial"/>
                <w:color w:val="000000"/>
                <w:sz w:val="20"/>
              </w:rPr>
              <w:t>1.3</w:t>
            </w:r>
          </w:p>
        </w:tc>
        <w:tc>
          <w:tcPr>
            <w:tcW w:w="1985" w:type="dxa"/>
            <w:shd w:val="clear" w:color="auto" w:fill="auto"/>
            <w:noWrap/>
            <w:vAlign w:val="center"/>
            <w:hideMark/>
          </w:tcPr>
          <w:p w14:paraId="1057190E" w14:textId="77777777" w:rsidR="004E12B7" w:rsidRPr="003F7978" w:rsidRDefault="00CE562C" w:rsidP="004E12B7">
            <w:pPr>
              <w:jc w:val="center"/>
              <w:rPr>
                <w:rFonts w:cs="Arial"/>
                <w:color w:val="000000"/>
                <w:sz w:val="20"/>
              </w:rPr>
            </w:pPr>
            <w:r w:rsidRPr="003F7978">
              <w:rPr>
                <w:rFonts w:cs="Arial"/>
                <w:color w:val="000000"/>
                <w:sz w:val="20"/>
              </w:rPr>
              <w:t>0.88%</w:t>
            </w:r>
          </w:p>
        </w:tc>
      </w:tr>
      <w:tr w:rsidR="00207C08" w14:paraId="720EC23D" w14:textId="77777777" w:rsidTr="006A2F45">
        <w:trPr>
          <w:trHeight w:val="195"/>
        </w:trPr>
        <w:tc>
          <w:tcPr>
            <w:tcW w:w="4360" w:type="dxa"/>
            <w:shd w:val="clear" w:color="auto" w:fill="auto"/>
            <w:noWrap/>
            <w:vAlign w:val="center"/>
            <w:hideMark/>
          </w:tcPr>
          <w:p w14:paraId="694372C3" w14:textId="77777777" w:rsidR="004E12B7" w:rsidRPr="003F7978" w:rsidRDefault="00CE562C" w:rsidP="004E12B7">
            <w:pPr>
              <w:rPr>
                <w:rFonts w:cs="Arial"/>
                <w:color w:val="000000"/>
                <w:sz w:val="20"/>
              </w:rPr>
            </w:pPr>
            <w:r w:rsidRPr="003F7978">
              <w:rPr>
                <w:rFonts w:cs="Arial"/>
                <w:color w:val="000000"/>
                <w:sz w:val="20"/>
              </w:rPr>
              <w:t>Bank &amp; Local Authority Deposits 3-5 years</w:t>
            </w:r>
          </w:p>
        </w:tc>
        <w:tc>
          <w:tcPr>
            <w:tcW w:w="2449" w:type="dxa"/>
            <w:shd w:val="clear" w:color="auto" w:fill="auto"/>
            <w:noWrap/>
            <w:vAlign w:val="center"/>
            <w:hideMark/>
          </w:tcPr>
          <w:p w14:paraId="5B968046" w14:textId="77777777" w:rsidR="004E12B7" w:rsidRPr="003F7978" w:rsidRDefault="00CE562C" w:rsidP="004E12B7">
            <w:pPr>
              <w:jc w:val="center"/>
              <w:rPr>
                <w:rFonts w:cs="Arial"/>
                <w:color w:val="000000"/>
                <w:sz w:val="20"/>
              </w:rPr>
            </w:pPr>
            <w:r w:rsidRPr="003F7978">
              <w:rPr>
                <w:rFonts w:cs="Arial"/>
                <w:color w:val="000000"/>
                <w:sz w:val="20"/>
              </w:rPr>
              <w:t>0.0</w:t>
            </w:r>
          </w:p>
        </w:tc>
        <w:tc>
          <w:tcPr>
            <w:tcW w:w="1985" w:type="dxa"/>
            <w:shd w:val="clear" w:color="auto" w:fill="auto"/>
            <w:noWrap/>
            <w:vAlign w:val="center"/>
            <w:hideMark/>
          </w:tcPr>
          <w:p w14:paraId="37C3EAAD" w14:textId="77777777" w:rsidR="004E12B7" w:rsidRPr="003F7978" w:rsidRDefault="00CE562C" w:rsidP="004E12B7">
            <w:pPr>
              <w:jc w:val="center"/>
              <w:rPr>
                <w:rFonts w:cs="Arial"/>
                <w:color w:val="000000"/>
                <w:sz w:val="20"/>
              </w:rPr>
            </w:pPr>
            <w:r w:rsidRPr="003F7978">
              <w:rPr>
                <w:rFonts w:cs="Arial"/>
                <w:color w:val="000000"/>
                <w:sz w:val="20"/>
              </w:rPr>
              <w:t>0.00%</w:t>
            </w:r>
          </w:p>
        </w:tc>
      </w:tr>
      <w:tr w:rsidR="00207C08" w14:paraId="651C9CCD" w14:textId="77777777" w:rsidTr="006A2F45">
        <w:trPr>
          <w:trHeight w:val="285"/>
        </w:trPr>
        <w:tc>
          <w:tcPr>
            <w:tcW w:w="4360" w:type="dxa"/>
            <w:shd w:val="clear" w:color="auto" w:fill="auto"/>
            <w:noWrap/>
            <w:vAlign w:val="center"/>
            <w:hideMark/>
          </w:tcPr>
          <w:p w14:paraId="3B3EA4BB" w14:textId="77777777" w:rsidR="004E12B7" w:rsidRPr="003F7978" w:rsidRDefault="00CE562C" w:rsidP="004E12B7">
            <w:pPr>
              <w:rPr>
                <w:rFonts w:cs="Arial"/>
                <w:color w:val="000000"/>
                <w:sz w:val="20"/>
              </w:rPr>
            </w:pPr>
            <w:r w:rsidRPr="003F7978">
              <w:rPr>
                <w:rFonts w:cs="Arial"/>
                <w:color w:val="000000"/>
                <w:sz w:val="20"/>
              </w:rPr>
              <w:t>Bank &amp; Local Authority Deposits 5 Years +</w:t>
            </w:r>
          </w:p>
        </w:tc>
        <w:tc>
          <w:tcPr>
            <w:tcW w:w="2449" w:type="dxa"/>
            <w:shd w:val="clear" w:color="auto" w:fill="auto"/>
            <w:noWrap/>
            <w:vAlign w:val="center"/>
            <w:hideMark/>
          </w:tcPr>
          <w:p w14:paraId="6D427C76" w14:textId="77777777" w:rsidR="004E12B7" w:rsidRPr="003F7978" w:rsidRDefault="00CE562C" w:rsidP="004E12B7">
            <w:pPr>
              <w:jc w:val="center"/>
              <w:rPr>
                <w:rFonts w:cs="Arial"/>
                <w:color w:val="000000"/>
                <w:sz w:val="20"/>
              </w:rPr>
            </w:pPr>
            <w:r w:rsidRPr="003F7978">
              <w:rPr>
                <w:rFonts w:cs="Arial"/>
                <w:color w:val="000000"/>
                <w:sz w:val="20"/>
              </w:rPr>
              <w:t>10.0</w:t>
            </w:r>
          </w:p>
        </w:tc>
        <w:tc>
          <w:tcPr>
            <w:tcW w:w="1985" w:type="dxa"/>
            <w:shd w:val="clear" w:color="auto" w:fill="auto"/>
            <w:noWrap/>
            <w:vAlign w:val="center"/>
            <w:hideMark/>
          </w:tcPr>
          <w:p w14:paraId="2AADB59A" w14:textId="77777777" w:rsidR="004E12B7" w:rsidRPr="003F7978" w:rsidRDefault="00CE562C" w:rsidP="004E12B7">
            <w:pPr>
              <w:jc w:val="center"/>
              <w:rPr>
                <w:rFonts w:cs="Arial"/>
                <w:color w:val="000000"/>
                <w:sz w:val="20"/>
              </w:rPr>
            </w:pPr>
            <w:r w:rsidRPr="003F7978">
              <w:rPr>
                <w:rFonts w:cs="Arial"/>
                <w:color w:val="000000"/>
                <w:sz w:val="20"/>
              </w:rPr>
              <w:t>2.95%</w:t>
            </w:r>
          </w:p>
        </w:tc>
      </w:tr>
      <w:tr w:rsidR="00207C08" w14:paraId="15E7F73D" w14:textId="77777777" w:rsidTr="006A2F45">
        <w:trPr>
          <w:trHeight w:val="247"/>
        </w:trPr>
        <w:tc>
          <w:tcPr>
            <w:tcW w:w="4360" w:type="dxa"/>
            <w:shd w:val="clear" w:color="auto" w:fill="auto"/>
            <w:noWrap/>
            <w:vAlign w:val="center"/>
            <w:hideMark/>
          </w:tcPr>
          <w:p w14:paraId="15B845BC" w14:textId="77777777" w:rsidR="004E12B7" w:rsidRPr="003F7978" w:rsidRDefault="00CE562C" w:rsidP="004E12B7">
            <w:pPr>
              <w:rPr>
                <w:rFonts w:cs="Arial"/>
                <w:color w:val="000000"/>
                <w:sz w:val="20"/>
              </w:rPr>
            </w:pPr>
            <w:r w:rsidRPr="003F7978">
              <w:rPr>
                <w:rFonts w:cs="Arial"/>
                <w:color w:val="000000"/>
                <w:sz w:val="20"/>
              </w:rPr>
              <w:t>Local Authority Bonds</w:t>
            </w:r>
          </w:p>
        </w:tc>
        <w:tc>
          <w:tcPr>
            <w:tcW w:w="2449" w:type="dxa"/>
            <w:shd w:val="clear" w:color="auto" w:fill="auto"/>
            <w:noWrap/>
            <w:vAlign w:val="center"/>
            <w:hideMark/>
          </w:tcPr>
          <w:p w14:paraId="5957E7EE" w14:textId="77777777" w:rsidR="004E12B7" w:rsidRPr="003F7978" w:rsidRDefault="00CE562C" w:rsidP="004E12B7">
            <w:pPr>
              <w:jc w:val="center"/>
              <w:rPr>
                <w:rFonts w:cs="Arial"/>
                <w:color w:val="000000"/>
                <w:sz w:val="20"/>
              </w:rPr>
            </w:pPr>
            <w:r w:rsidRPr="003F7978">
              <w:rPr>
                <w:rFonts w:cs="Arial"/>
                <w:color w:val="000000"/>
                <w:sz w:val="20"/>
              </w:rPr>
              <w:t>37.3</w:t>
            </w:r>
          </w:p>
        </w:tc>
        <w:tc>
          <w:tcPr>
            <w:tcW w:w="1985" w:type="dxa"/>
            <w:shd w:val="clear" w:color="auto" w:fill="auto"/>
            <w:noWrap/>
            <w:vAlign w:val="center"/>
            <w:hideMark/>
          </w:tcPr>
          <w:p w14:paraId="1C697CDD" w14:textId="77777777" w:rsidR="004E12B7" w:rsidRPr="003F7978" w:rsidRDefault="00CE562C" w:rsidP="004E12B7">
            <w:pPr>
              <w:jc w:val="center"/>
              <w:rPr>
                <w:rFonts w:cs="Arial"/>
                <w:color w:val="000000"/>
                <w:sz w:val="20"/>
              </w:rPr>
            </w:pPr>
            <w:r w:rsidRPr="003F7978">
              <w:rPr>
                <w:rFonts w:cs="Arial"/>
                <w:color w:val="000000"/>
                <w:sz w:val="20"/>
              </w:rPr>
              <w:t>3.55%</w:t>
            </w:r>
          </w:p>
        </w:tc>
      </w:tr>
      <w:tr w:rsidR="00207C08" w14:paraId="7C5AB94C" w14:textId="77777777" w:rsidTr="006A2F45">
        <w:trPr>
          <w:trHeight w:val="209"/>
        </w:trPr>
        <w:tc>
          <w:tcPr>
            <w:tcW w:w="4360" w:type="dxa"/>
            <w:shd w:val="clear" w:color="auto" w:fill="auto"/>
            <w:noWrap/>
            <w:vAlign w:val="center"/>
            <w:hideMark/>
          </w:tcPr>
          <w:p w14:paraId="7F04A78A" w14:textId="77777777" w:rsidR="004E12B7" w:rsidRPr="003F7978" w:rsidRDefault="00CE562C" w:rsidP="004E12B7">
            <w:pPr>
              <w:rPr>
                <w:rFonts w:cs="Arial"/>
                <w:color w:val="000000"/>
                <w:sz w:val="20"/>
              </w:rPr>
            </w:pPr>
            <w:r w:rsidRPr="003F7978">
              <w:rPr>
                <w:rFonts w:cs="Arial"/>
                <w:color w:val="000000"/>
                <w:sz w:val="20"/>
              </w:rPr>
              <w:t>UK Government &amp; Other Bonds</w:t>
            </w:r>
          </w:p>
        </w:tc>
        <w:tc>
          <w:tcPr>
            <w:tcW w:w="2449" w:type="dxa"/>
            <w:shd w:val="clear" w:color="auto" w:fill="auto"/>
            <w:noWrap/>
            <w:vAlign w:val="center"/>
            <w:hideMark/>
          </w:tcPr>
          <w:p w14:paraId="709C44CD" w14:textId="77777777" w:rsidR="004E12B7" w:rsidRPr="003F7978" w:rsidRDefault="00CE562C" w:rsidP="004E12B7">
            <w:pPr>
              <w:jc w:val="center"/>
              <w:rPr>
                <w:rFonts w:cs="Arial"/>
                <w:color w:val="000000"/>
                <w:sz w:val="20"/>
              </w:rPr>
            </w:pPr>
            <w:r w:rsidRPr="003F7978">
              <w:rPr>
                <w:rFonts w:cs="Arial"/>
                <w:color w:val="000000"/>
                <w:sz w:val="20"/>
              </w:rPr>
              <w:t>281.8</w:t>
            </w:r>
          </w:p>
        </w:tc>
        <w:tc>
          <w:tcPr>
            <w:tcW w:w="1985" w:type="dxa"/>
            <w:shd w:val="clear" w:color="auto" w:fill="auto"/>
            <w:noWrap/>
            <w:vAlign w:val="center"/>
            <w:hideMark/>
          </w:tcPr>
          <w:p w14:paraId="36086D6D" w14:textId="77777777" w:rsidR="004E12B7" w:rsidRPr="003F7978" w:rsidRDefault="00CE562C" w:rsidP="004E12B7">
            <w:pPr>
              <w:jc w:val="center"/>
              <w:rPr>
                <w:rFonts w:cs="Arial"/>
                <w:color w:val="000000"/>
                <w:sz w:val="20"/>
              </w:rPr>
            </w:pPr>
            <w:r w:rsidRPr="003F7978">
              <w:rPr>
                <w:rFonts w:cs="Arial"/>
                <w:color w:val="000000"/>
                <w:sz w:val="20"/>
              </w:rPr>
              <w:t>3.17%</w:t>
            </w:r>
          </w:p>
        </w:tc>
      </w:tr>
      <w:tr w:rsidR="00207C08" w14:paraId="382D1199" w14:textId="77777777" w:rsidTr="006A2F45">
        <w:trPr>
          <w:trHeight w:val="171"/>
        </w:trPr>
        <w:tc>
          <w:tcPr>
            <w:tcW w:w="4360" w:type="dxa"/>
            <w:shd w:val="clear" w:color="auto" w:fill="auto"/>
            <w:noWrap/>
            <w:vAlign w:val="center"/>
            <w:hideMark/>
          </w:tcPr>
          <w:p w14:paraId="3F839C7C" w14:textId="77777777" w:rsidR="004E12B7" w:rsidRPr="003F7978" w:rsidRDefault="00CE562C" w:rsidP="004E12B7">
            <w:pPr>
              <w:rPr>
                <w:rFonts w:cs="Arial"/>
                <w:b/>
                <w:bCs/>
                <w:color w:val="000000"/>
                <w:sz w:val="20"/>
              </w:rPr>
            </w:pPr>
            <w:r w:rsidRPr="003F7978">
              <w:rPr>
                <w:rFonts w:cs="Arial"/>
                <w:b/>
                <w:bCs/>
                <w:color w:val="000000"/>
                <w:sz w:val="20"/>
              </w:rPr>
              <w:t> </w:t>
            </w:r>
            <w:r>
              <w:rPr>
                <w:rFonts w:cs="Arial"/>
                <w:b/>
                <w:bCs/>
                <w:color w:val="000000"/>
                <w:sz w:val="20"/>
              </w:rPr>
              <w:t>Total</w:t>
            </w:r>
          </w:p>
        </w:tc>
        <w:tc>
          <w:tcPr>
            <w:tcW w:w="2449" w:type="dxa"/>
            <w:shd w:val="clear" w:color="auto" w:fill="auto"/>
            <w:noWrap/>
            <w:vAlign w:val="center"/>
            <w:hideMark/>
          </w:tcPr>
          <w:p w14:paraId="37170EE6" w14:textId="77777777" w:rsidR="004E12B7" w:rsidRPr="003F7978" w:rsidRDefault="00CE562C" w:rsidP="004E12B7">
            <w:pPr>
              <w:jc w:val="center"/>
              <w:rPr>
                <w:rFonts w:cs="Arial"/>
                <w:b/>
                <w:bCs/>
                <w:color w:val="000000"/>
                <w:sz w:val="20"/>
              </w:rPr>
            </w:pPr>
            <w:r w:rsidRPr="003F7978">
              <w:rPr>
                <w:rFonts w:cs="Arial"/>
                <w:b/>
                <w:bCs/>
                <w:color w:val="000000"/>
                <w:sz w:val="20"/>
              </w:rPr>
              <w:t>49</w:t>
            </w:r>
            <w:r>
              <w:rPr>
                <w:rFonts w:cs="Arial"/>
                <w:b/>
                <w:bCs/>
                <w:color w:val="000000"/>
                <w:sz w:val="20"/>
              </w:rPr>
              <w:t>4.9</w:t>
            </w:r>
          </w:p>
        </w:tc>
        <w:tc>
          <w:tcPr>
            <w:tcW w:w="1985" w:type="dxa"/>
            <w:shd w:val="clear" w:color="auto" w:fill="auto"/>
            <w:noWrap/>
            <w:vAlign w:val="center"/>
            <w:hideMark/>
          </w:tcPr>
          <w:p w14:paraId="0AA35CD5" w14:textId="77777777" w:rsidR="004E12B7" w:rsidRPr="003F7978" w:rsidRDefault="00CE562C" w:rsidP="004E12B7">
            <w:pPr>
              <w:jc w:val="center"/>
              <w:rPr>
                <w:rFonts w:cs="Arial"/>
                <w:b/>
                <w:bCs/>
                <w:color w:val="000000"/>
                <w:sz w:val="20"/>
              </w:rPr>
            </w:pPr>
            <w:r w:rsidRPr="003F7978">
              <w:rPr>
                <w:rFonts w:cs="Arial"/>
                <w:b/>
                <w:bCs/>
                <w:color w:val="000000"/>
                <w:sz w:val="20"/>
              </w:rPr>
              <w:t>2.30%</w:t>
            </w:r>
          </w:p>
        </w:tc>
      </w:tr>
    </w:tbl>
    <w:p w14:paraId="3408F998" w14:textId="77777777" w:rsidR="004E12B7" w:rsidRPr="00B06B0C" w:rsidRDefault="009B446A" w:rsidP="004E12B7">
      <w:pPr>
        <w:ind w:left="426" w:hanging="426"/>
        <w:jc w:val="both"/>
        <w:rPr>
          <w:b/>
          <w:szCs w:val="24"/>
          <w:highlight w:val="yellow"/>
        </w:rPr>
      </w:pPr>
    </w:p>
    <w:p w14:paraId="575BFBFB" w14:textId="7F87292F" w:rsidR="004E12B7" w:rsidRPr="00E97234" w:rsidRDefault="00CE562C" w:rsidP="004E12B7">
      <w:pPr>
        <w:jc w:val="both"/>
        <w:rPr>
          <w:b/>
          <w:szCs w:val="24"/>
        </w:rPr>
      </w:pPr>
      <w:r w:rsidRPr="00E97234">
        <w:rPr>
          <w:b/>
          <w:szCs w:val="24"/>
        </w:rPr>
        <w:t xml:space="preserve">Impact of Treasury Management </w:t>
      </w:r>
      <w:r w:rsidR="006A2F45" w:rsidRPr="00E97234">
        <w:rPr>
          <w:b/>
          <w:szCs w:val="24"/>
        </w:rPr>
        <w:t>activity</w:t>
      </w:r>
      <w:r w:rsidRPr="00E97234">
        <w:rPr>
          <w:b/>
          <w:szCs w:val="24"/>
        </w:rPr>
        <w:t xml:space="preserve"> on the </w:t>
      </w:r>
      <w:r w:rsidR="006A2F45" w:rsidRPr="00E97234">
        <w:rPr>
          <w:b/>
          <w:szCs w:val="24"/>
        </w:rPr>
        <w:t>C</w:t>
      </w:r>
      <w:r w:rsidRPr="00E97234">
        <w:rPr>
          <w:b/>
          <w:szCs w:val="24"/>
        </w:rPr>
        <w:t>ouncil's revenue budget</w:t>
      </w:r>
    </w:p>
    <w:p w14:paraId="7EDEBC1F" w14:textId="77777777" w:rsidR="004E12B7" w:rsidRDefault="009B446A" w:rsidP="004E12B7">
      <w:pPr>
        <w:jc w:val="both"/>
        <w:rPr>
          <w:b/>
          <w:szCs w:val="24"/>
        </w:rPr>
      </w:pPr>
    </w:p>
    <w:p w14:paraId="41E3FFB3" w14:textId="29CA7179" w:rsidR="004E12B7" w:rsidRDefault="00CE562C" w:rsidP="004E12B7">
      <w:pPr>
        <w:jc w:val="both"/>
        <w:rPr>
          <w:rFonts w:cs="Arial"/>
        </w:rPr>
      </w:pPr>
      <w:r w:rsidRPr="003F7978">
        <w:rPr>
          <w:szCs w:val="24"/>
        </w:rPr>
        <w:t xml:space="preserve">The </w:t>
      </w:r>
      <w:r>
        <w:rPr>
          <w:szCs w:val="24"/>
        </w:rPr>
        <w:t>following table</w:t>
      </w:r>
      <w:r w:rsidRPr="003F7978">
        <w:rPr>
          <w:szCs w:val="24"/>
        </w:rPr>
        <w:t xml:space="preserve"> shows a net underspend of £</w:t>
      </w:r>
      <w:r>
        <w:rPr>
          <w:szCs w:val="24"/>
        </w:rPr>
        <w:t>8.9</w:t>
      </w:r>
      <w:r w:rsidRPr="003F7978">
        <w:rPr>
          <w:szCs w:val="24"/>
        </w:rPr>
        <w:t>m on the financing charges budget.  Income received in the year was £8.</w:t>
      </w:r>
      <w:r>
        <w:rPr>
          <w:szCs w:val="24"/>
        </w:rPr>
        <w:t>1</w:t>
      </w:r>
      <w:r w:rsidRPr="003F7978">
        <w:rPr>
          <w:szCs w:val="24"/>
        </w:rPr>
        <w:t>m higher than anticipated</w:t>
      </w:r>
      <w:r>
        <w:rPr>
          <w:szCs w:val="24"/>
        </w:rPr>
        <w:t xml:space="preserve"> in the budget</w:t>
      </w:r>
      <w:r w:rsidRPr="003F7978">
        <w:rPr>
          <w:szCs w:val="24"/>
        </w:rPr>
        <w:t>.</w:t>
      </w:r>
      <w:r>
        <w:rPr>
          <w:szCs w:val="24"/>
        </w:rPr>
        <w:t xml:space="preserve"> With the markets responding to economic and political events there was volatility in the price of gilts and other bonds</w:t>
      </w:r>
      <w:r w:rsidRPr="003F7978">
        <w:rPr>
          <w:szCs w:val="24"/>
        </w:rPr>
        <w:t>.</w:t>
      </w:r>
      <w:r w:rsidRPr="003F7978">
        <w:rPr>
          <w:rFonts w:cs="Arial"/>
        </w:rPr>
        <w:t xml:space="preserve"> The increase in the price of </w:t>
      </w:r>
      <w:r>
        <w:rPr>
          <w:rFonts w:cs="Arial"/>
        </w:rPr>
        <w:t>gilts</w:t>
      </w:r>
      <w:r w:rsidRPr="003F7978">
        <w:rPr>
          <w:rFonts w:cs="Arial"/>
        </w:rPr>
        <w:t xml:space="preserve"> enabled some to be sold resulting in a net gain of £5.</w:t>
      </w:r>
      <w:r>
        <w:rPr>
          <w:rFonts w:cs="Arial"/>
        </w:rPr>
        <w:t>8</w:t>
      </w:r>
      <w:r w:rsidRPr="003F7978">
        <w:rPr>
          <w:rFonts w:cs="Arial"/>
        </w:rPr>
        <w:t xml:space="preserve">m. </w:t>
      </w:r>
      <w:r w:rsidRPr="00443AE6">
        <w:rPr>
          <w:rFonts w:cs="Arial"/>
        </w:rPr>
        <w:t xml:space="preserve">There have also been net gains of £0.9m resulting from sales </w:t>
      </w:r>
      <w:r>
        <w:rPr>
          <w:rFonts w:cs="Arial"/>
        </w:rPr>
        <w:t>from</w:t>
      </w:r>
      <w:r w:rsidRPr="00443AE6">
        <w:rPr>
          <w:rFonts w:cs="Arial"/>
        </w:rPr>
        <w:t xml:space="preserve"> the </w:t>
      </w:r>
      <w:r>
        <w:rPr>
          <w:rFonts w:cs="Arial"/>
        </w:rPr>
        <w:t>corporate</w:t>
      </w:r>
      <w:r w:rsidRPr="00443AE6">
        <w:rPr>
          <w:rFonts w:cs="Arial"/>
        </w:rPr>
        <w:t xml:space="preserve"> bond</w:t>
      </w:r>
      <w:r>
        <w:rPr>
          <w:rFonts w:cs="Arial"/>
        </w:rPr>
        <w:t xml:space="preserve">s portfolio. Other interest received was £1.4m higher than anticipated due to </w:t>
      </w:r>
      <w:r w:rsidR="008150F6">
        <w:rPr>
          <w:rFonts w:cs="Arial"/>
        </w:rPr>
        <w:t xml:space="preserve">the </w:t>
      </w:r>
      <w:r>
        <w:rPr>
          <w:rFonts w:cs="Arial"/>
        </w:rPr>
        <w:t xml:space="preserve">higher level of balances and interest rates while reductions arose with interest paid on debt of £0.7m with debt levels and interest rate being lower than forecast. </w:t>
      </w:r>
    </w:p>
    <w:p w14:paraId="62D55B67" w14:textId="77777777" w:rsidR="000E4E04" w:rsidRDefault="009B446A" w:rsidP="004E12B7">
      <w:pPr>
        <w:jc w:val="both"/>
        <w:rPr>
          <w:rFonts w:cs="Arial"/>
        </w:rPr>
      </w:pPr>
    </w:p>
    <w:p w14:paraId="2E207568" w14:textId="32FAAE0E" w:rsidR="007D0374" w:rsidRDefault="002956E1" w:rsidP="004E12B7">
      <w:pPr>
        <w:jc w:val="both"/>
        <w:rPr>
          <w:rFonts w:cs="Arial"/>
        </w:rPr>
      </w:pPr>
      <w:r>
        <w:rPr>
          <w:rFonts w:cs="Arial"/>
        </w:rPr>
        <w:t xml:space="preserve">Cabinet have </w:t>
      </w:r>
      <w:r w:rsidR="00CE562C">
        <w:rPr>
          <w:rFonts w:cs="Arial"/>
        </w:rPr>
        <w:t>considered</w:t>
      </w:r>
      <w:r w:rsidR="00CE562C" w:rsidRPr="007D0374">
        <w:rPr>
          <w:rFonts w:cs="Arial"/>
        </w:rPr>
        <w:t xml:space="preserve"> a change to the minimum revenue provision (MRP) policy for 2017/18</w:t>
      </w:r>
      <w:r w:rsidR="00CE562C">
        <w:rPr>
          <w:rFonts w:cs="Arial"/>
        </w:rPr>
        <w:t xml:space="preserve"> which is subject to approval by the Full Council on 19 July</w:t>
      </w:r>
      <w:r>
        <w:rPr>
          <w:rFonts w:cs="Arial"/>
        </w:rPr>
        <w:t>.</w:t>
      </w:r>
      <w:r w:rsidR="00CE562C" w:rsidRPr="007D0374">
        <w:rPr>
          <w:rFonts w:cs="Arial"/>
        </w:rPr>
        <w:t xml:space="preserve"> Th</w:t>
      </w:r>
      <w:r>
        <w:rPr>
          <w:rFonts w:cs="Arial"/>
        </w:rPr>
        <w:t>e new policy</w:t>
      </w:r>
      <w:r w:rsidR="00CE562C" w:rsidRPr="007D0374">
        <w:rPr>
          <w:rFonts w:cs="Arial"/>
        </w:rPr>
        <w:t xml:space="preserve"> reflect</w:t>
      </w:r>
      <w:r w:rsidR="00CE562C">
        <w:rPr>
          <w:rFonts w:cs="Arial"/>
        </w:rPr>
        <w:t>s a revised calculation</w:t>
      </w:r>
      <w:r w:rsidR="00CE562C" w:rsidRPr="007D0374">
        <w:rPr>
          <w:rFonts w:cs="Arial"/>
        </w:rPr>
        <w:t xml:space="preserve"> </w:t>
      </w:r>
      <w:r w:rsidR="00CE562C">
        <w:rPr>
          <w:rFonts w:cs="Arial"/>
        </w:rPr>
        <w:t>method a</w:t>
      </w:r>
      <w:r w:rsidR="00CE562C" w:rsidRPr="007D0374">
        <w:rPr>
          <w:rFonts w:cs="Arial"/>
        </w:rPr>
        <w:t xml:space="preserve">nd will reduce the MRP charge for 2017/18. The reduction will </w:t>
      </w:r>
      <w:r w:rsidR="00CE562C">
        <w:rPr>
          <w:rFonts w:cs="Arial"/>
        </w:rPr>
        <w:t>see</w:t>
      </w:r>
      <w:r w:rsidR="00CE562C" w:rsidRPr="007D0374">
        <w:rPr>
          <w:rFonts w:cs="Arial"/>
        </w:rPr>
        <w:t xml:space="preserve"> a contribution to reserves</w:t>
      </w:r>
      <w:r w:rsidR="00CE562C">
        <w:rPr>
          <w:rFonts w:cs="Arial"/>
        </w:rPr>
        <w:t xml:space="preserve"> for an equal value</w:t>
      </w:r>
      <w:r w:rsidR="00CE562C" w:rsidRPr="007D0374">
        <w:rPr>
          <w:rFonts w:cs="Arial"/>
        </w:rPr>
        <w:t xml:space="preserve"> thereby having no impact on the overall net expenditure of the authority.</w:t>
      </w:r>
    </w:p>
    <w:p w14:paraId="2E44DB58" w14:textId="77777777" w:rsidR="0008653C" w:rsidRPr="00E86DB7" w:rsidRDefault="009B446A" w:rsidP="004E12B7">
      <w:pPr>
        <w:jc w:val="both"/>
        <w:rPr>
          <w:rFonts w:cs="Arial"/>
          <w:b/>
          <w:bCs/>
          <w:szCs w:val="24"/>
        </w:rPr>
      </w:pPr>
    </w:p>
    <w:tbl>
      <w:tblPr>
        <w:tblW w:w="8789" w:type="dxa"/>
        <w:tblInd w:w="-5" w:type="dxa"/>
        <w:tblLook w:val="04A0" w:firstRow="1" w:lastRow="0" w:firstColumn="1" w:lastColumn="0" w:noHBand="0" w:noVBand="1"/>
      </w:tblPr>
      <w:tblGrid>
        <w:gridCol w:w="4678"/>
        <w:gridCol w:w="1418"/>
        <w:gridCol w:w="1417"/>
        <w:gridCol w:w="1276"/>
      </w:tblGrid>
      <w:tr w:rsidR="00207C08" w14:paraId="6D8342C6" w14:textId="77777777" w:rsidTr="004E12B7">
        <w:trPr>
          <w:trHeight w:val="315"/>
        </w:trPr>
        <w:tc>
          <w:tcPr>
            <w:tcW w:w="4678" w:type="dxa"/>
            <w:tcBorders>
              <w:top w:val="single" w:sz="4" w:space="0" w:color="auto"/>
              <w:left w:val="single" w:sz="4" w:space="0" w:color="auto"/>
              <w:bottom w:val="nil"/>
              <w:right w:val="single" w:sz="4" w:space="0" w:color="auto"/>
            </w:tcBorders>
            <w:shd w:val="clear" w:color="auto" w:fill="auto"/>
            <w:noWrap/>
            <w:vAlign w:val="bottom"/>
            <w:hideMark/>
          </w:tcPr>
          <w:p w14:paraId="229F7A2A" w14:textId="77777777" w:rsidR="004E12B7" w:rsidRPr="0075728F" w:rsidRDefault="00CE562C" w:rsidP="004E12B7">
            <w:pPr>
              <w:rPr>
                <w:rFonts w:cs="Arial"/>
                <w:color w:val="000000"/>
                <w:sz w:val="20"/>
              </w:rPr>
            </w:pPr>
            <w:r w:rsidRPr="0075728F">
              <w:rPr>
                <w:rFonts w:cs="Arial"/>
                <w:color w:val="000000"/>
                <w:sz w:val="20"/>
              </w:rPr>
              <w:t> </w:t>
            </w:r>
          </w:p>
        </w:tc>
        <w:tc>
          <w:tcPr>
            <w:tcW w:w="1418" w:type="dxa"/>
            <w:tcBorders>
              <w:top w:val="single" w:sz="4" w:space="0" w:color="auto"/>
              <w:left w:val="nil"/>
              <w:bottom w:val="nil"/>
              <w:right w:val="single" w:sz="4" w:space="0" w:color="auto"/>
            </w:tcBorders>
            <w:shd w:val="clear" w:color="auto" w:fill="auto"/>
            <w:noWrap/>
            <w:vAlign w:val="bottom"/>
            <w:hideMark/>
          </w:tcPr>
          <w:p w14:paraId="5B1E63C4" w14:textId="77777777" w:rsidR="004E12B7" w:rsidRPr="0075728F" w:rsidRDefault="00CE562C" w:rsidP="004E12B7">
            <w:pPr>
              <w:jc w:val="center"/>
              <w:rPr>
                <w:rFonts w:cs="Arial"/>
                <w:b/>
                <w:bCs/>
                <w:color w:val="000000"/>
                <w:sz w:val="20"/>
              </w:rPr>
            </w:pPr>
            <w:r w:rsidRPr="0075728F">
              <w:rPr>
                <w:rFonts w:cs="Arial"/>
                <w:b/>
                <w:bCs/>
                <w:color w:val="000000"/>
                <w:sz w:val="20"/>
              </w:rPr>
              <w:t>Budget</w:t>
            </w:r>
          </w:p>
        </w:tc>
        <w:tc>
          <w:tcPr>
            <w:tcW w:w="1417" w:type="dxa"/>
            <w:tcBorders>
              <w:top w:val="single" w:sz="4" w:space="0" w:color="auto"/>
              <w:left w:val="nil"/>
              <w:bottom w:val="nil"/>
              <w:right w:val="single" w:sz="4" w:space="0" w:color="auto"/>
            </w:tcBorders>
            <w:shd w:val="clear" w:color="auto" w:fill="auto"/>
            <w:noWrap/>
            <w:vAlign w:val="bottom"/>
            <w:hideMark/>
          </w:tcPr>
          <w:p w14:paraId="37E62D1F" w14:textId="77777777" w:rsidR="004E12B7" w:rsidRPr="0075728F" w:rsidRDefault="00CE562C" w:rsidP="004E12B7">
            <w:pPr>
              <w:jc w:val="center"/>
              <w:rPr>
                <w:rFonts w:cs="Arial"/>
                <w:b/>
                <w:bCs/>
                <w:color w:val="000000"/>
                <w:sz w:val="20"/>
              </w:rPr>
            </w:pPr>
            <w:r w:rsidRPr="0075728F">
              <w:rPr>
                <w:rFonts w:cs="Arial"/>
                <w:b/>
                <w:bCs/>
                <w:color w:val="000000"/>
                <w:sz w:val="20"/>
              </w:rPr>
              <w:t>Year End</w:t>
            </w:r>
          </w:p>
        </w:tc>
        <w:tc>
          <w:tcPr>
            <w:tcW w:w="1276" w:type="dxa"/>
            <w:tcBorders>
              <w:top w:val="single" w:sz="4" w:space="0" w:color="auto"/>
              <w:left w:val="nil"/>
              <w:bottom w:val="nil"/>
              <w:right w:val="single" w:sz="4" w:space="0" w:color="auto"/>
            </w:tcBorders>
            <w:shd w:val="clear" w:color="auto" w:fill="auto"/>
            <w:noWrap/>
            <w:vAlign w:val="bottom"/>
            <w:hideMark/>
          </w:tcPr>
          <w:p w14:paraId="145DCCB7" w14:textId="77777777" w:rsidR="004E12B7" w:rsidRPr="0075728F" w:rsidRDefault="00CE562C" w:rsidP="004E12B7">
            <w:pPr>
              <w:jc w:val="center"/>
              <w:rPr>
                <w:rFonts w:cs="Arial"/>
                <w:b/>
                <w:bCs/>
                <w:color w:val="000000"/>
                <w:sz w:val="20"/>
              </w:rPr>
            </w:pPr>
            <w:r w:rsidRPr="0075728F">
              <w:rPr>
                <w:rFonts w:cs="Arial"/>
                <w:b/>
                <w:bCs/>
                <w:color w:val="000000"/>
                <w:sz w:val="20"/>
              </w:rPr>
              <w:t> </w:t>
            </w:r>
          </w:p>
        </w:tc>
      </w:tr>
      <w:tr w:rsidR="00207C08" w14:paraId="550E7B82" w14:textId="77777777" w:rsidTr="004E12B7">
        <w:trPr>
          <w:trHeight w:val="315"/>
        </w:trPr>
        <w:tc>
          <w:tcPr>
            <w:tcW w:w="4678" w:type="dxa"/>
            <w:tcBorders>
              <w:top w:val="nil"/>
              <w:left w:val="single" w:sz="4" w:space="0" w:color="auto"/>
              <w:bottom w:val="nil"/>
              <w:right w:val="single" w:sz="4" w:space="0" w:color="auto"/>
            </w:tcBorders>
            <w:shd w:val="clear" w:color="auto" w:fill="auto"/>
            <w:noWrap/>
            <w:vAlign w:val="bottom"/>
            <w:hideMark/>
          </w:tcPr>
          <w:p w14:paraId="5FA58BE8" w14:textId="77777777" w:rsidR="004E12B7" w:rsidRPr="0075728F" w:rsidRDefault="00CE562C" w:rsidP="004E12B7">
            <w:pPr>
              <w:rPr>
                <w:rFonts w:cs="Arial"/>
                <w:color w:val="000000"/>
                <w:sz w:val="20"/>
              </w:rPr>
            </w:pPr>
            <w:r w:rsidRPr="0075728F">
              <w:rPr>
                <w:rFonts w:cs="Arial"/>
                <w:color w:val="000000"/>
                <w:sz w:val="20"/>
              </w:rPr>
              <w:t> </w:t>
            </w:r>
          </w:p>
        </w:tc>
        <w:tc>
          <w:tcPr>
            <w:tcW w:w="1418" w:type="dxa"/>
            <w:tcBorders>
              <w:top w:val="nil"/>
              <w:left w:val="nil"/>
              <w:bottom w:val="nil"/>
              <w:right w:val="single" w:sz="4" w:space="0" w:color="auto"/>
            </w:tcBorders>
            <w:shd w:val="clear" w:color="auto" w:fill="auto"/>
            <w:noWrap/>
            <w:vAlign w:val="bottom"/>
            <w:hideMark/>
          </w:tcPr>
          <w:p w14:paraId="6CF5255C" w14:textId="77777777" w:rsidR="004E12B7" w:rsidRPr="0075728F" w:rsidRDefault="00CE562C" w:rsidP="004E12B7">
            <w:pPr>
              <w:jc w:val="center"/>
              <w:rPr>
                <w:rFonts w:cs="Arial"/>
                <w:b/>
                <w:bCs/>
                <w:color w:val="000000"/>
                <w:sz w:val="20"/>
              </w:rPr>
            </w:pPr>
            <w:r>
              <w:rPr>
                <w:rFonts w:cs="Arial"/>
                <w:b/>
                <w:bCs/>
                <w:color w:val="000000"/>
                <w:sz w:val="20"/>
              </w:rPr>
              <w:t>20</w:t>
            </w:r>
            <w:r w:rsidRPr="0075728F">
              <w:rPr>
                <w:rFonts w:cs="Arial"/>
                <w:b/>
                <w:bCs/>
                <w:color w:val="000000"/>
                <w:sz w:val="20"/>
              </w:rPr>
              <w:t>17/18</w:t>
            </w:r>
          </w:p>
        </w:tc>
        <w:tc>
          <w:tcPr>
            <w:tcW w:w="1417" w:type="dxa"/>
            <w:tcBorders>
              <w:top w:val="nil"/>
              <w:left w:val="nil"/>
              <w:bottom w:val="nil"/>
              <w:right w:val="single" w:sz="4" w:space="0" w:color="auto"/>
            </w:tcBorders>
            <w:shd w:val="clear" w:color="auto" w:fill="auto"/>
            <w:noWrap/>
            <w:vAlign w:val="bottom"/>
            <w:hideMark/>
          </w:tcPr>
          <w:p w14:paraId="13A731B6" w14:textId="77777777" w:rsidR="004E12B7" w:rsidRPr="0075728F" w:rsidRDefault="00CE562C" w:rsidP="004E12B7">
            <w:pPr>
              <w:jc w:val="center"/>
              <w:rPr>
                <w:rFonts w:cs="Arial"/>
                <w:b/>
                <w:bCs/>
                <w:color w:val="000000"/>
                <w:sz w:val="20"/>
              </w:rPr>
            </w:pPr>
            <w:r w:rsidRPr="0075728F">
              <w:rPr>
                <w:rFonts w:cs="Arial"/>
                <w:b/>
                <w:bCs/>
                <w:color w:val="000000"/>
                <w:sz w:val="20"/>
              </w:rPr>
              <w:t>Position</w:t>
            </w:r>
          </w:p>
        </w:tc>
        <w:tc>
          <w:tcPr>
            <w:tcW w:w="1276" w:type="dxa"/>
            <w:tcBorders>
              <w:top w:val="nil"/>
              <w:left w:val="nil"/>
              <w:bottom w:val="nil"/>
              <w:right w:val="single" w:sz="4" w:space="0" w:color="auto"/>
            </w:tcBorders>
            <w:shd w:val="clear" w:color="auto" w:fill="auto"/>
            <w:noWrap/>
            <w:vAlign w:val="bottom"/>
            <w:hideMark/>
          </w:tcPr>
          <w:p w14:paraId="102ACD31" w14:textId="77777777" w:rsidR="004E12B7" w:rsidRPr="0075728F" w:rsidRDefault="00CE562C" w:rsidP="004E12B7">
            <w:pPr>
              <w:jc w:val="center"/>
              <w:rPr>
                <w:rFonts w:cs="Arial"/>
                <w:b/>
                <w:bCs/>
                <w:color w:val="000000"/>
                <w:sz w:val="20"/>
              </w:rPr>
            </w:pPr>
            <w:r w:rsidRPr="0075728F">
              <w:rPr>
                <w:rFonts w:cs="Arial"/>
                <w:b/>
                <w:bCs/>
                <w:color w:val="000000"/>
                <w:sz w:val="20"/>
              </w:rPr>
              <w:t>Variance</w:t>
            </w:r>
          </w:p>
        </w:tc>
      </w:tr>
      <w:tr w:rsidR="00207C08" w14:paraId="1D75FAAF" w14:textId="77777777" w:rsidTr="00ED1B9D">
        <w:trPr>
          <w:trHeight w:val="208"/>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27A51899" w14:textId="77777777" w:rsidR="004E12B7" w:rsidRPr="0075728F" w:rsidRDefault="00CE562C" w:rsidP="004E12B7">
            <w:pPr>
              <w:rPr>
                <w:rFonts w:cs="Arial"/>
                <w:color w:val="000000"/>
                <w:sz w:val="20"/>
              </w:rPr>
            </w:pPr>
            <w:r w:rsidRPr="0075728F">
              <w:rPr>
                <w:rFonts w:cs="Arial"/>
                <w:color w:val="000000"/>
                <w:sz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03AD6E6B" w14:textId="77777777" w:rsidR="004E12B7" w:rsidRPr="0075728F" w:rsidRDefault="00CE562C" w:rsidP="004E12B7">
            <w:pPr>
              <w:jc w:val="center"/>
              <w:rPr>
                <w:rFonts w:cs="Arial"/>
                <w:b/>
                <w:bCs/>
                <w:color w:val="000000"/>
                <w:sz w:val="20"/>
              </w:rPr>
            </w:pPr>
            <w:r w:rsidRPr="0075728F">
              <w:rPr>
                <w:rFonts w:cs="Arial"/>
                <w:b/>
                <w:bCs/>
                <w:color w:val="000000"/>
                <w:sz w:val="20"/>
              </w:rPr>
              <w:t>£m</w:t>
            </w:r>
          </w:p>
        </w:tc>
        <w:tc>
          <w:tcPr>
            <w:tcW w:w="1417" w:type="dxa"/>
            <w:tcBorders>
              <w:top w:val="nil"/>
              <w:left w:val="nil"/>
              <w:bottom w:val="single" w:sz="4" w:space="0" w:color="auto"/>
              <w:right w:val="single" w:sz="4" w:space="0" w:color="auto"/>
            </w:tcBorders>
            <w:shd w:val="clear" w:color="auto" w:fill="auto"/>
            <w:noWrap/>
            <w:vAlign w:val="bottom"/>
            <w:hideMark/>
          </w:tcPr>
          <w:p w14:paraId="2F71A144" w14:textId="77777777" w:rsidR="004E12B7" w:rsidRPr="0075728F" w:rsidRDefault="00CE562C" w:rsidP="004E12B7">
            <w:pPr>
              <w:jc w:val="center"/>
              <w:rPr>
                <w:rFonts w:cs="Arial"/>
                <w:b/>
                <w:bCs/>
                <w:color w:val="000000"/>
                <w:sz w:val="20"/>
              </w:rPr>
            </w:pPr>
            <w:r w:rsidRPr="0075728F">
              <w:rPr>
                <w:rFonts w:cs="Arial"/>
                <w:b/>
                <w:bCs/>
                <w:color w:val="000000"/>
                <w:sz w:val="20"/>
              </w:rPr>
              <w:t>£m</w:t>
            </w:r>
          </w:p>
        </w:tc>
        <w:tc>
          <w:tcPr>
            <w:tcW w:w="1276" w:type="dxa"/>
            <w:tcBorders>
              <w:top w:val="nil"/>
              <w:left w:val="nil"/>
              <w:bottom w:val="single" w:sz="4" w:space="0" w:color="auto"/>
              <w:right w:val="single" w:sz="4" w:space="0" w:color="auto"/>
            </w:tcBorders>
            <w:shd w:val="clear" w:color="auto" w:fill="auto"/>
            <w:noWrap/>
            <w:vAlign w:val="bottom"/>
            <w:hideMark/>
          </w:tcPr>
          <w:p w14:paraId="35446F7E" w14:textId="77777777" w:rsidR="004E12B7" w:rsidRPr="0075728F" w:rsidRDefault="00CE562C" w:rsidP="004E12B7">
            <w:pPr>
              <w:jc w:val="center"/>
              <w:rPr>
                <w:rFonts w:cs="Arial"/>
                <w:b/>
                <w:bCs/>
                <w:color w:val="000000"/>
                <w:sz w:val="20"/>
              </w:rPr>
            </w:pPr>
            <w:r w:rsidRPr="0075728F">
              <w:rPr>
                <w:rFonts w:cs="Arial"/>
                <w:b/>
                <w:bCs/>
                <w:color w:val="000000"/>
                <w:sz w:val="20"/>
              </w:rPr>
              <w:t>£m</w:t>
            </w:r>
          </w:p>
        </w:tc>
      </w:tr>
      <w:tr w:rsidR="00207C08" w14:paraId="67D75A3D" w14:textId="77777777" w:rsidTr="004E12B7">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ED11B" w14:textId="77777777" w:rsidR="004E12B7" w:rsidRPr="0075728F" w:rsidRDefault="00CE562C" w:rsidP="004E12B7">
            <w:pPr>
              <w:rPr>
                <w:rFonts w:cs="Arial"/>
                <w:color w:val="000000"/>
                <w:sz w:val="20"/>
              </w:rPr>
            </w:pPr>
            <w:r w:rsidRPr="0075728F">
              <w:rPr>
                <w:rFonts w:cs="Arial"/>
                <w:color w:val="000000"/>
                <w:sz w:val="20"/>
              </w:rPr>
              <w:t>MRP</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348E83B" w14:textId="77777777" w:rsidR="004E12B7" w:rsidRPr="0075728F" w:rsidRDefault="00CE562C" w:rsidP="004E12B7">
            <w:pPr>
              <w:jc w:val="right"/>
              <w:rPr>
                <w:rFonts w:cs="Arial"/>
                <w:color w:val="000000"/>
                <w:sz w:val="20"/>
              </w:rPr>
            </w:pPr>
            <w:r w:rsidRPr="0075728F">
              <w:rPr>
                <w:rFonts w:cs="Arial"/>
                <w:color w:val="000000"/>
                <w:sz w:val="20"/>
              </w:rPr>
              <w:t>21.383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F01D6BC" w14:textId="77777777" w:rsidR="004E12B7" w:rsidRPr="0075728F" w:rsidRDefault="00CE562C" w:rsidP="004E12B7">
            <w:pPr>
              <w:jc w:val="right"/>
              <w:rPr>
                <w:rFonts w:cs="Arial"/>
                <w:color w:val="000000"/>
                <w:sz w:val="20"/>
              </w:rPr>
            </w:pPr>
            <w:r w:rsidRPr="0075728F">
              <w:rPr>
                <w:rFonts w:cs="Arial"/>
                <w:color w:val="000000"/>
                <w:sz w:val="20"/>
              </w:rPr>
              <w:t>21.337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4979FBA" w14:textId="77777777" w:rsidR="004E12B7" w:rsidRPr="0075728F" w:rsidRDefault="00CE562C" w:rsidP="004E12B7">
            <w:pPr>
              <w:jc w:val="right"/>
              <w:rPr>
                <w:rFonts w:cs="Arial"/>
                <w:color w:val="000000"/>
                <w:sz w:val="20"/>
              </w:rPr>
            </w:pPr>
            <w:r w:rsidRPr="0075728F">
              <w:rPr>
                <w:rFonts w:cs="Arial"/>
                <w:color w:val="000000"/>
                <w:sz w:val="20"/>
              </w:rPr>
              <w:t>(0.046)</w:t>
            </w:r>
          </w:p>
        </w:tc>
      </w:tr>
      <w:tr w:rsidR="00207C08" w14:paraId="016E10E1" w14:textId="77777777" w:rsidTr="004E12B7">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DD4CA" w14:textId="77777777" w:rsidR="004E12B7" w:rsidRPr="0075728F" w:rsidRDefault="00CE562C" w:rsidP="004E12B7">
            <w:pPr>
              <w:rPr>
                <w:rFonts w:cs="Arial"/>
                <w:color w:val="000000"/>
                <w:sz w:val="20"/>
              </w:rPr>
            </w:pPr>
            <w:r w:rsidRPr="0075728F">
              <w:rPr>
                <w:rFonts w:cs="Arial"/>
                <w:color w:val="000000"/>
                <w:sz w:val="20"/>
              </w:rPr>
              <w:t>Interest Paid</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6C9222C" w14:textId="77777777" w:rsidR="004E12B7" w:rsidRPr="0075728F" w:rsidRDefault="00CE562C" w:rsidP="004E12B7">
            <w:pPr>
              <w:jc w:val="right"/>
              <w:rPr>
                <w:rFonts w:cs="Arial"/>
                <w:color w:val="000000"/>
                <w:sz w:val="20"/>
              </w:rPr>
            </w:pPr>
            <w:r w:rsidRPr="0075728F">
              <w:rPr>
                <w:rFonts w:cs="Arial"/>
                <w:color w:val="000000"/>
                <w:sz w:val="20"/>
              </w:rPr>
              <w:t>22.758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D30D530" w14:textId="77777777" w:rsidR="004E12B7" w:rsidRPr="0075728F" w:rsidRDefault="00CE562C" w:rsidP="004E12B7">
            <w:pPr>
              <w:jc w:val="right"/>
              <w:rPr>
                <w:rFonts w:cs="Arial"/>
                <w:color w:val="000000"/>
                <w:sz w:val="20"/>
              </w:rPr>
            </w:pPr>
            <w:r w:rsidRPr="0075728F">
              <w:rPr>
                <w:rFonts w:cs="Arial"/>
                <w:color w:val="000000"/>
                <w:sz w:val="20"/>
              </w:rPr>
              <w:t>22.010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56F7F28" w14:textId="77777777" w:rsidR="004E12B7" w:rsidRPr="0075728F" w:rsidRDefault="00CE562C" w:rsidP="004E12B7">
            <w:pPr>
              <w:jc w:val="right"/>
              <w:rPr>
                <w:rFonts w:cs="Arial"/>
                <w:color w:val="000000"/>
                <w:sz w:val="20"/>
              </w:rPr>
            </w:pPr>
            <w:r w:rsidRPr="0075728F">
              <w:rPr>
                <w:rFonts w:cs="Arial"/>
                <w:color w:val="000000"/>
                <w:sz w:val="20"/>
              </w:rPr>
              <w:t>(0.748)</w:t>
            </w:r>
          </w:p>
        </w:tc>
      </w:tr>
      <w:tr w:rsidR="00207C08" w14:paraId="6F5A2543" w14:textId="77777777" w:rsidTr="004E12B7">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A3810" w14:textId="77777777" w:rsidR="004E12B7" w:rsidRPr="0075728F" w:rsidRDefault="00CE562C" w:rsidP="004E12B7">
            <w:pPr>
              <w:rPr>
                <w:rFonts w:cs="Arial"/>
                <w:color w:val="000000"/>
                <w:sz w:val="20"/>
              </w:rPr>
            </w:pPr>
            <w:r w:rsidRPr="0075728F">
              <w:rPr>
                <w:rFonts w:cs="Arial"/>
                <w:color w:val="000000"/>
                <w:sz w:val="20"/>
              </w:rPr>
              <w:t>Interest Received/surplus on sale</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F95C416" w14:textId="77777777" w:rsidR="004E12B7" w:rsidRPr="0075728F" w:rsidRDefault="00CE562C" w:rsidP="004E12B7">
            <w:pPr>
              <w:jc w:val="right"/>
              <w:rPr>
                <w:rFonts w:cs="Arial"/>
                <w:color w:val="000000"/>
                <w:sz w:val="20"/>
              </w:rPr>
            </w:pPr>
            <w:r w:rsidRPr="0075728F">
              <w:rPr>
                <w:rFonts w:cs="Arial"/>
                <w:color w:val="000000"/>
                <w:sz w:val="20"/>
              </w:rPr>
              <w:t>(7.423)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F905231" w14:textId="77777777" w:rsidR="004E12B7" w:rsidRPr="0075728F" w:rsidRDefault="00CE562C" w:rsidP="004E12B7">
            <w:pPr>
              <w:jc w:val="right"/>
              <w:rPr>
                <w:rFonts w:cs="Arial"/>
                <w:color w:val="000000"/>
                <w:sz w:val="20"/>
              </w:rPr>
            </w:pPr>
            <w:r w:rsidRPr="0075728F">
              <w:rPr>
                <w:rFonts w:cs="Arial"/>
                <w:color w:val="000000"/>
                <w:sz w:val="20"/>
              </w:rPr>
              <w:t>(15.487)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EADDF3D" w14:textId="77777777" w:rsidR="004E12B7" w:rsidRPr="0075728F" w:rsidRDefault="00CE562C" w:rsidP="004E12B7">
            <w:pPr>
              <w:jc w:val="right"/>
              <w:rPr>
                <w:rFonts w:cs="Arial"/>
                <w:color w:val="000000"/>
                <w:sz w:val="20"/>
              </w:rPr>
            </w:pPr>
            <w:r w:rsidRPr="0075728F">
              <w:rPr>
                <w:rFonts w:cs="Arial"/>
                <w:color w:val="000000"/>
                <w:sz w:val="20"/>
              </w:rPr>
              <w:t>(8.064)</w:t>
            </w:r>
          </w:p>
        </w:tc>
      </w:tr>
      <w:tr w:rsidR="00207C08" w14:paraId="13F7D20F" w14:textId="77777777" w:rsidTr="004E12B7">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47027" w14:textId="77777777" w:rsidR="004E12B7" w:rsidRPr="0075728F" w:rsidRDefault="00CE562C" w:rsidP="004E12B7">
            <w:pPr>
              <w:rPr>
                <w:rFonts w:cs="Arial"/>
                <w:b/>
                <w:bCs/>
                <w:color w:val="000000"/>
                <w:sz w:val="20"/>
              </w:rPr>
            </w:pPr>
            <w:r w:rsidRPr="0075728F">
              <w:rPr>
                <w:rFonts w:cs="Arial"/>
                <w:b/>
                <w:bCs/>
                <w:color w:val="000000"/>
                <w:sz w:val="20"/>
              </w:rPr>
              <w:t>Total</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25F68E6" w14:textId="77777777" w:rsidR="004E12B7" w:rsidRPr="0075728F" w:rsidRDefault="00CE562C" w:rsidP="004E12B7">
            <w:pPr>
              <w:jc w:val="right"/>
              <w:rPr>
                <w:rFonts w:cs="Arial"/>
                <w:b/>
                <w:bCs/>
                <w:color w:val="000000"/>
                <w:sz w:val="20"/>
              </w:rPr>
            </w:pPr>
            <w:r w:rsidRPr="0075728F">
              <w:rPr>
                <w:rFonts w:cs="Arial"/>
                <w:b/>
                <w:bCs/>
                <w:color w:val="000000"/>
                <w:sz w:val="20"/>
              </w:rPr>
              <w:t>36.718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1482C93" w14:textId="77777777" w:rsidR="004E12B7" w:rsidRPr="0075728F" w:rsidRDefault="00CE562C" w:rsidP="004E12B7">
            <w:pPr>
              <w:jc w:val="right"/>
              <w:rPr>
                <w:rFonts w:cs="Arial"/>
                <w:b/>
                <w:bCs/>
                <w:color w:val="000000"/>
                <w:sz w:val="20"/>
              </w:rPr>
            </w:pPr>
            <w:r w:rsidRPr="0075728F">
              <w:rPr>
                <w:rFonts w:cs="Arial"/>
                <w:b/>
                <w:bCs/>
                <w:color w:val="000000"/>
                <w:sz w:val="20"/>
              </w:rPr>
              <w:t>27.860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8E2E854" w14:textId="77777777" w:rsidR="004E12B7" w:rsidRPr="0075728F" w:rsidRDefault="00CE562C" w:rsidP="004E12B7">
            <w:pPr>
              <w:jc w:val="right"/>
              <w:rPr>
                <w:rFonts w:cs="Arial"/>
                <w:b/>
                <w:bCs/>
                <w:color w:val="000000"/>
                <w:sz w:val="20"/>
              </w:rPr>
            </w:pPr>
            <w:r w:rsidRPr="0075728F">
              <w:rPr>
                <w:rFonts w:cs="Arial"/>
                <w:b/>
                <w:bCs/>
                <w:color w:val="000000"/>
                <w:sz w:val="20"/>
              </w:rPr>
              <w:t>(8.858)</w:t>
            </w:r>
          </w:p>
        </w:tc>
      </w:tr>
    </w:tbl>
    <w:p w14:paraId="2F38F68D" w14:textId="77777777" w:rsidR="008150F6" w:rsidRDefault="008150F6" w:rsidP="004E12B7">
      <w:pPr>
        <w:jc w:val="both"/>
        <w:rPr>
          <w:b/>
          <w:szCs w:val="24"/>
        </w:rPr>
      </w:pPr>
    </w:p>
    <w:p w14:paraId="375743A2" w14:textId="77777777" w:rsidR="008150F6" w:rsidRDefault="008150F6" w:rsidP="004E12B7">
      <w:pPr>
        <w:jc w:val="both"/>
        <w:rPr>
          <w:b/>
          <w:szCs w:val="24"/>
        </w:rPr>
      </w:pPr>
    </w:p>
    <w:p w14:paraId="79AC5BD1" w14:textId="77777777" w:rsidR="004E12B7" w:rsidRPr="00694586" w:rsidRDefault="00CE562C" w:rsidP="004E12B7">
      <w:pPr>
        <w:jc w:val="both"/>
        <w:rPr>
          <w:b/>
          <w:szCs w:val="24"/>
        </w:rPr>
      </w:pPr>
      <w:r w:rsidRPr="00694586">
        <w:rPr>
          <w:b/>
          <w:szCs w:val="24"/>
        </w:rPr>
        <w:t>Treasury Management and Prudential Indicators 2017/18</w:t>
      </w:r>
    </w:p>
    <w:p w14:paraId="644B62ED" w14:textId="77777777" w:rsidR="004E12B7" w:rsidRPr="00B06B0C" w:rsidRDefault="009B446A" w:rsidP="004E12B7">
      <w:pPr>
        <w:autoSpaceDE w:val="0"/>
        <w:autoSpaceDN w:val="0"/>
        <w:jc w:val="both"/>
        <w:rPr>
          <w:b/>
          <w:color w:val="000000" w:themeColor="text1"/>
          <w:highlight w:val="yellow"/>
        </w:rPr>
      </w:pPr>
    </w:p>
    <w:p w14:paraId="3B1EFDA2" w14:textId="77777777" w:rsidR="004E12B7" w:rsidRPr="00694586" w:rsidRDefault="00CE562C" w:rsidP="004E12B7">
      <w:pPr>
        <w:jc w:val="both"/>
        <w:rPr>
          <w:b/>
          <w:szCs w:val="24"/>
        </w:rPr>
      </w:pPr>
      <w:r w:rsidRPr="00694586">
        <w:rPr>
          <w:szCs w:val="24"/>
        </w:rPr>
        <w:t xml:space="preserve">The Local Government Act 2003 and supporting regulations require the </w:t>
      </w:r>
      <w:r>
        <w:rPr>
          <w:szCs w:val="24"/>
        </w:rPr>
        <w:t>c</w:t>
      </w:r>
      <w:r w:rsidRPr="00694586">
        <w:rPr>
          <w:szCs w:val="24"/>
        </w:rPr>
        <w:t>ouncil to have regard to the Prudential Code and to set prudential indicators to ensure the</w:t>
      </w:r>
      <w:r>
        <w:rPr>
          <w:szCs w:val="24"/>
        </w:rPr>
        <w:t xml:space="preserve"> c</w:t>
      </w:r>
      <w:r w:rsidRPr="00694586">
        <w:rPr>
          <w:szCs w:val="24"/>
        </w:rPr>
        <w:t>ouncil's capital investment plans are affordable, prudent and sustainable</w:t>
      </w:r>
      <w:r w:rsidRPr="00694586">
        <w:rPr>
          <w:b/>
          <w:szCs w:val="24"/>
        </w:rPr>
        <w:t>.</w:t>
      </w:r>
    </w:p>
    <w:p w14:paraId="2EF4FA08" w14:textId="77777777" w:rsidR="004E12B7" w:rsidRPr="00694586" w:rsidRDefault="009B446A" w:rsidP="004E12B7">
      <w:pPr>
        <w:jc w:val="both"/>
        <w:rPr>
          <w:b/>
          <w:szCs w:val="24"/>
        </w:rPr>
      </w:pPr>
    </w:p>
    <w:p w14:paraId="0728D801" w14:textId="77777777" w:rsidR="004E12B7" w:rsidRPr="00694586" w:rsidRDefault="00CE562C" w:rsidP="004E12B7">
      <w:pPr>
        <w:jc w:val="both"/>
        <w:rPr>
          <w:szCs w:val="24"/>
        </w:rPr>
      </w:pPr>
      <w:r w:rsidRPr="00694586">
        <w:rPr>
          <w:szCs w:val="24"/>
        </w:rPr>
        <w:t xml:space="preserve">A comparison of the actual position at 31 March 2018 compared to the </w:t>
      </w:r>
      <w:r>
        <w:rPr>
          <w:szCs w:val="24"/>
        </w:rPr>
        <w:t>i</w:t>
      </w:r>
      <w:r w:rsidRPr="00694586">
        <w:rPr>
          <w:szCs w:val="24"/>
        </w:rPr>
        <w:t xml:space="preserve">ndicators set in the Treasury Management Strategy for 2017/18 is set out </w:t>
      </w:r>
      <w:r>
        <w:rPr>
          <w:szCs w:val="24"/>
        </w:rPr>
        <w:t>as follows</w:t>
      </w:r>
      <w:r w:rsidRPr="00694586">
        <w:rPr>
          <w:szCs w:val="24"/>
        </w:rPr>
        <w:t>.</w:t>
      </w:r>
      <w:r>
        <w:rPr>
          <w:szCs w:val="24"/>
        </w:rPr>
        <w:t xml:space="preserve"> </w:t>
      </w:r>
    </w:p>
    <w:tbl>
      <w:tblPr>
        <w:tblW w:w="13850" w:type="dxa"/>
        <w:tblLook w:val="04A0" w:firstRow="1" w:lastRow="0" w:firstColumn="1" w:lastColumn="0" w:noHBand="0" w:noVBand="1"/>
      </w:tblPr>
      <w:tblGrid>
        <w:gridCol w:w="10446"/>
        <w:gridCol w:w="1693"/>
        <w:gridCol w:w="1711"/>
      </w:tblGrid>
      <w:tr w:rsidR="00207C08" w14:paraId="6B7967EE" w14:textId="77777777" w:rsidTr="004E12B7">
        <w:trPr>
          <w:trHeight w:val="313"/>
        </w:trPr>
        <w:tc>
          <w:tcPr>
            <w:tcW w:w="10446" w:type="dxa"/>
            <w:tcBorders>
              <w:top w:val="nil"/>
              <w:left w:val="nil"/>
              <w:bottom w:val="nil"/>
              <w:right w:val="nil"/>
            </w:tcBorders>
            <w:shd w:val="clear" w:color="auto" w:fill="auto"/>
            <w:vAlign w:val="center"/>
            <w:hideMark/>
          </w:tcPr>
          <w:p w14:paraId="44F362B3" w14:textId="77777777" w:rsidR="004E12B7" w:rsidRDefault="009B446A" w:rsidP="004E12B7">
            <w:pPr>
              <w:jc w:val="both"/>
              <w:rPr>
                <w:rFonts w:cs="Arial"/>
                <w:color w:val="000000"/>
                <w:szCs w:val="24"/>
                <w:highlight w:val="yellow"/>
              </w:rPr>
            </w:pPr>
          </w:p>
          <w:tbl>
            <w:tblPr>
              <w:tblW w:w="8676" w:type="dxa"/>
              <w:tblLook w:val="04A0" w:firstRow="1" w:lastRow="0" w:firstColumn="1" w:lastColumn="0" w:noHBand="0" w:noVBand="1"/>
            </w:tblPr>
            <w:tblGrid>
              <w:gridCol w:w="5983"/>
              <w:gridCol w:w="1417"/>
              <w:gridCol w:w="1276"/>
            </w:tblGrid>
            <w:tr w:rsidR="00207C08" w14:paraId="20049912" w14:textId="77777777" w:rsidTr="004E12B7">
              <w:trPr>
                <w:trHeight w:val="315"/>
              </w:trPr>
              <w:tc>
                <w:tcPr>
                  <w:tcW w:w="5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E39AE" w14:textId="2164DEEC" w:rsidR="004E12B7" w:rsidRPr="00CD651D" w:rsidRDefault="00CE562C" w:rsidP="004E12B7">
                  <w:pPr>
                    <w:rPr>
                      <w:rFonts w:cs="Arial"/>
                      <w:b/>
                      <w:bCs/>
                      <w:color w:val="000000"/>
                      <w:sz w:val="20"/>
                    </w:rPr>
                  </w:pPr>
                  <w:r w:rsidRPr="00CD651D">
                    <w:rPr>
                      <w:rFonts w:cs="Arial"/>
                      <w:b/>
                      <w:bCs/>
                      <w:color w:val="000000"/>
                      <w:sz w:val="20"/>
                    </w:rPr>
                    <w:t>Authorised limit for external debt</w:t>
                  </w:r>
                  <w:r w:rsidRPr="00CD651D">
                    <w:rPr>
                      <w:rFonts w:cs="Arial"/>
                      <w:b/>
                      <w:bCs/>
                      <w:color w:val="000000"/>
                      <w:sz w:val="20"/>
                    </w:rPr>
                    <w:br/>
                  </w:r>
                  <w:r w:rsidRPr="0075728F">
                    <w:rPr>
                      <w:rFonts w:cs="Arial"/>
                      <w:bCs/>
                      <w:color w:val="000000"/>
                      <w:sz w:val="20"/>
                    </w:rPr>
                    <w:t xml:space="preserve">A prudent estimate of debt which reflects the </w:t>
                  </w:r>
                  <w:r w:rsidR="008150F6">
                    <w:rPr>
                      <w:rFonts w:cs="Arial"/>
                      <w:bCs/>
                      <w:color w:val="000000"/>
                      <w:sz w:val="20"/>
                    </w:rPr>
                    <w:t>a</w:t>
                  </w:r>
                  <w:r w:rsidRPr="0075728F">
                    <w:rPr>
                      <w:rFonts w:cs="Arial"/>
                      <w:bCs/>
                      <w:color w:val="000000"/>
                      <w:sz w:val="20"/>
                    </w:rPr>
                    <w:t>uthority's capital expenditure plans and allows sufficient headroom for unusual cash movements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79B15" w14:textId="77777777" w:rsidR="004E12B7" w:rsidRDefault="00CE562C" w:rsidP="004E12B7">
                  <w:pPr>
                    <w:jc w:val="center"/>
                    <w:rPr>
                      <w:rFonts w:cs="Arial"/>
                      <w:b/>
                      <w:bCs/>
                      <w:color w:val="000000"/>
                      <w:sz w:val="20"/>
                    </w:rPr>
                  </w:pPr>
                  <w:r w:rsidRPr="00CD651D">
                    <w:rPr>
                      <w:rFonts w:cs="Arial"/>
                      <w:b/>
                      <w:bCs/>
                      <w:color w:val="000000"/>
                      <w:sz w:val="20"/>
                    </w:rPr>
                    <w:t>2017/18</w:t>
                  </w:r>
                </w:p>
                <w:p w14:paraId="35254A6C" w14:textId="77777777" w:rsidR="004E12B7" w:rsidRPr="00CD651D" w:rsidRDefault="00CE562C" w:rsidP="004E12B7">
                  <w:pPr>
                    <w:jc w:val="center"/>
                    <w:rPr>
                      <w:rFonts w:cs="Arial"/>
                      <w:b/>
                      <w:bCs/>
                      <w:color w:val="000000"/>
                      <w:sz w:val="20"/>
                    </w:rPr>
                  </w:pPr>
                  <w:r w:rsidRPr="00CD651D">
                    <w:rPr>
                      <w:rFonts w:cs="Arial"/>
                      <w:b/>
                      <w:bCs/>
                      <w:color w:val="000000"/>
                      <w:sz w:val="20"/>
                    </w:rPr>
                    <w:t>£m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4EA3F" w14:textId="35C8D93A" w:rsidR="004E12B7" w:rsidRDefault="00CE562C" w:rsidP="004E12B7">
                  <w:pPr>
                    <w:jc w:val="center"/>
                    <w:rPr>
                      <w:rFonts w:cs="Arial"/>
                      <w:b/>
                      <w:bCs/>
                      <w:color w:val="000000"/>
                      <w:sz w:val="20"/>
                    </w:rPr>
                  </w:pPr>
                  <w:r w:rsidRPr="00CD651D">
                    <w:rPr>
                      <w:rFonts w:cs="Arial"/>
                      <w:b/>
                      <w:bCs/>
                      <w:color w:val="000000"/>
                      <w:sz w:val="20"/>
                    </w:rPr>
                    <w:t>31st Mar</w:t>
                  </w:r>
                  <w:r w:rsidR="008150F6">
                    <w:rPr>
                      <w:rFonts w:cs="Arial"/>
                      <w:b/>
                      <w:bCs/>
                      <w:color w:val="000000"/>
                      <w:sz w:val="20"/>
                    </w:rPr>
                    <w:t>ch</w:t>
                  </w:r>
                  <w:r w:rsidRPr="00CD651D">
                    <w:rPr>
                      <w:rFonts w:cs="Arial"/>
                      <w:b/>
                      <w:bCs/>
                      <w:color w:val="000000"/>
                      <w:sz w:val="20"/>
                    </w:rPr>
                    <w:t xml:space="preserve"> Actual</w:t>
                  </w:r>
                </w:p>
                <w:p w14:paraId="3BBB6AFF" w14:textId="77777777" w:rsidR="004E12B7" w:rsidRPr="00CD651D" w:rsidRDefault="00CE562C" w:rsidP="004E12B7">
                  <w:pPr>
                    <w:jc w:val="center"/>
                    <w:rPr>
                      <w:rFonts w:cs="Arial"/>
                      <w:b/>
                      <w:bCs/>
                      <w:color w:val="000000"/>
                      <w:sz w:val="20"/>
                    </w:rPr>
                  </w:pPr>
                  <w:r w:rsidRPr="00CD651D">
                    <w:rPr>
                      <w:rFonts w:cs="Arial"/>
                      <w:b/>
                      <w:bCs/>
                      <w:color w:val="000000"/>
                      <w:sz w:val="20"/>
                    </w:rPr>
                    <w:t>£m</w:t>
                  </w:r>
                </w:p>
              </w:tc>
            </w:tr>
            <w:tr w:rsidR="00207C08" w14:paraId="5E8BE2B7" w14:textId="77777777" w:rsidTr="004E12B7">
              <w:trPr>
                <w:trHeight w:val="300"/>
              </w:trPr>
              <w:tc>
                <w:tcPr>
                  <w:tcW w:w="5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1189C" w14:textId="77777777" w:rsidR="004E12B7" w:rsidRPr="00CD651D" w:rsidRDefault="00CE562C" w:rsidP="004E12B7">
                  <w:pPr>
                    <w:rPr>
                      <w:rFonts w:cs="Arial"/>
                      <w:color w:val="000000"/>
                      <w:sz w:val="20"/>
                    </w:rPr>
                  </w:pPr>
                  <w:r w:rsidRPr="00CD651D">
                    <w:rPr>
                      <w:rFonts w:cs="Arial"/>
                      <w:color w:val="000000"/>
                      <w:sz w:val="20"/>
                    </w:rPr>
                    <w:t>Borrowing</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CCA070A" w14:textId="77777777" w:rsidR="004E12B7" w:rsidRPr="00CD651D" w:rsidRDefault="00CE562C" w:rsidP="004E12B7">
                  <w:pPr>
                    <w:jc w:val="center"/>
                    <w:rPr>
                      <w:rFonts w:cs="Arial"/>
                      <w:color w:val="000000"/>
                      <w:sz w:val="20"/>
                    </w:rPr>
                  </w:pPr>
                  <w:r w:rsidRPr="00CD651D">
                    <w:rPr>
                      <w:rFonts w:cs="Arial"/>
                      <w:color w:val="000000"/>
                      <w:sz w:val="20"/>
                    </w:rPr>
                    <w:t>1,100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D7CF9E7" w14:textId="77777777" w:rsidR="004E12B7" w:rsidRPr="00CD651D" w:rsidRDefault="00CE562C" w:rsidP="004E12B7">
                  <w:pPr>
                    <w:jc w:val="center"/>
                    <w:rPr>
                      <w:rFonts w:cs="Arial"/>
                      <w:color w:val="000000"/>
                      <w:sz w:val="20"/>
                    </w:rPr>
                  </w:pPr>
                  <w:r w:rsidRPr="00CD651D">
                    <w:rPr>
                      <w:rFonts w:cs="Arial"/>
                      <w:color w:val="000000"/>
                      <w:sz w:val="20"/>
                    </w:rPr>
                    <w:t>950</w:t>
                  </w:r>
                </w:p>
              </w:tc>
            </w:tr>
            <w:tr w:rsidR="00207C08" w14:paraId="4DE1EBA2" w14:textId="77777777" w:rsidTr="004E12B7">
              <w:trPr>
                <w:trHeight w:val="300"/>
              </w:trPr>
              <w:tc>
                <w:tcPr>
                  <w:tcW w:w="5983" w:type="dxa"/>
                  <w:tcBorders>
                    <w:top w:val="nil"/>
                    <w:left w:val="single" w:sz="4" w:space="0" w:color="auto"/>
                    <w:bottom w:val="single" w:sz="4" w:space="0" w:color="auto"/>
                    <w:right w:val="single" w:sz="4" w:space="0" w:color="auto"/>
                  </w:tcBorders>
                  <w:shd w:val="clear" w:color="auto" w:fill="auto"/>
                  <w:noWrap/>
                  <w:vAlign w:val="center"/>
                  <w:hideMark/>
                </w:tcPr>
                <w:p w14:paraId="3785717B" w14:textId="77777777" w:rsidR="004E12B7" w:rsidRPr="00CD651D" w:rsidRDefault="00CE562C" w:rsidP="004E12B7">
                  <w:pPr>
                    <w:rPr>
                      <w:rFonts w:cs="Arial"/>
                      <w:color w:val="000000"/>
                      <w:sz w:val="20"/>
                    </w:rPr>
                  </w:pPr>
                  <w:r w:rsidRPr="00CD651D">
                    <w:rPr>
                      <w:rFonts w:cs="Arial"/>
                      <w:color w:val="000000"/>
                      <w:sz w:val="20"/>
                    </w:rPr>
                    <w:t>Other long term liabilities (PFI schemes)</w:t>
                  </w:r>
                </w:p>
              </w:tc>
              <w:tc>
                <w:tcPr>
                  <w:tcW w:w="1417" w:type="dxa"/>
                  <w:tcBorders>
                    <w:top w:val="nil"/>
                    <w:left w:val="nil"/>
                    <w:bottom w:val="single" w:sz="4" w:space="0" w:color="auto"/>
                    <w:right w:val="single" w:sz="4" w:space="0" w:color="auto"/>
                  </w:tcBorders>
                  <w:shd w:val="clear" w:color="auto" w:fill="auto"/>
                  <w:noWrap/>
                  <w:vAlign w:val="center"/>
                  <w:hideMark/>
                </w:tcPr>
                <w:p w14:paraId="155F3DD9" w14:textId="77777777" w:rsidR="004E12B7" w:rsidRPr="00CD651D" w:rsidRDefault="00CE562C" w:rsidP="004E12B7">
                  <w:pPr>
                    <w:jc w:val="center"/>
                    <w:rPr>
                      <w:rFonts w:cs="Arial"/>
                      <w:color w:val="000000"/>
                      <w:sz w:val="20"/>
                    </w:rPr>
                  </w:pPr>
                  <w:r w:rsidRPr="00CD651D">
                    <w:rPr>
                      <w:rFonts w:cs="Arial"/>
                      <w:color w:val="000000"/>
                      <w:sz w:val="20"/>
                    </w:rPr>
                    <w:t>200</w:t>
                  </w:r>
                </w:p>
              </w:tc>
              <w:tc>
                <w:tcPr>
                  <w:tcW w:w="1276" w:type="dxa"/>
                  <w:tcBorders>
                    <w:top w:val="nil"/>
                    <w:left w:val="nil"/>
                    <w:bottom w:val="single" w:sz="4" w:space="0" w:color="auto"/>
                    <w:right w:val="single" w:sz="4" w:space="0" w:color="auto"/>
                  </w:tcBorders>
                  <w:shd w:val="clear" w:color="auto" w:fill="auto"/>
                  <w:noWrap/>
                  <w:vAlign w:val="center"/>
                  <w:hideMark/>
                </w:tcPr>
                <w:p w14:paraId="01D47039" w14:textId="77777777" w:rsidR="004E12B7" w:rsidRPr="00CD651D" w:rsidRDefault="00CE562C" w:rsidP="004E12B7">
                  <w:pPr>
                    <w:jc w:val="center"/>
                    <w:rPr>
                      <w:rFonts w:cs="Arial"/>
                      <w:color w:val="000000"/>
                      <w:sz w:val="20"/>
                    </w:rPr>
                  </w:pPr>
                  <w:r w:rsidRPr="00CD651D">
                    <w:rPr>
                      <w:rFonts w:cs="Arial"/>
                      <w:color w:val="000000"/>
                      <w:sz w:val="20"/>
                    </w:rPr>
                    <w:t>157</w:t>
                  </w:r>
                </w:p>
              </w:tc>
            </w:tr>
            <w:tr w:rsidR="00207C08" w14:paraId="3F16CDB3" w14:textId="77777777" w:rsidTr="004E12B7">
              <w:trPr>
                <w:trHeight w:val="315"/>
              </w:trPr>
              <w:tc>
                <w:tcPr>
                  <w:tcW w:w="5983" w:type="dxa"/>
                  <w:tcBorders>
                    <w:top w:val="nil"/>
                    <w:left w:val="single" w:sz="4" w:space="0" w:color="auto"/>
                    <w:bottom w:val="single" w:sz="4" w:space="0" w:color="auto"/>
                    <w:right w:val="single" w:sz="4" w:space="0" w:color="auto"/>
                  </w:tcBorders>
                  <w:shd w:val="clear" w:color="auto" w:fill="auto"/>
                  <w:noWrap/>
                  <w:vAlign w:val="center"/>
                  <w:hideMark/>
                </w:tcPr>
                <w:p w14:paraId="6F199725" w14:textId="77777777" w:rsidR="004E12B7" w:rsidRPr="00CD651D" w:rsidRDefault="00CE562C" w:rsidP="004E12B7">
                  <w:pPr>
                    <w:rPr>
                      <w:rFonts w:cs="Arial"/>
                      <w:b/>
                      <w:bCs/>
                      <w:color w:val="000000"/>
                      <w:sz w:val="20"/>
                    </w:rPr>
                  </w:pPr>
                  <w:r w:rsidRPr="00CD651D">
                    <w:rPr>
                      <w:rFonts w:cs="Arial"/>
                      <w:b/>
                      <w:bCs/>
                      <w:color w:val="000000"/>
                      <w:sz w:val="20"/>
                    </w:rPr>
                    <w:t>TOTAL</w:t>
                  </w:r>
                </w:p>
              </w:tc>
              <w:tc>
                <w:tcPr>
                  <w:tcW w:w="1417" w:type="dxa"/>
                  <w:tcBorders>
                    <w:top w:val="nil"/>
                    <w:left w:val="nil"/>
                    <w:bottom w:val="single" w:sz="4" w:space="0" w:color="auto"/>
                    <w:right w:val="single" w:sz="4" w:space="0" w:color="auto"/>
                  </w:tcBorders>
                  <w:shd w:val="clear" w:color="auto" w:fill="auto"/>
                  <w:noWrap/>
                  <w:vAlign w:val="center"/>
                  <w:hideMark/>
                </w:tcPr>
                <w:p w14:paraId="43C8497F" w14:textId="77777777" w:rsidR="004E12B7" w:rsidRPr="00CD651D" w:rsidRDefault="00CE562C" w:rsidP="004E12B7">
                  <w:pPr>
                    <w:jc w:val="center"/>
                    <w:rPr>
                      <w:rFonts w:cs="Arial"/>
                      <w:b/>
                      <w:bCs/>
                      <w:color w:val="000000"/>
                      <w:sz w:val="20"/>
                    </w:rPr>
                  </w:pPr>
                  <w:r w:rsidRPr="00CD651D">
                    <w:rPr>
                      <w:rFonts w:cs="Arial"/>
                      <w:b/>
                      <w:bCs/>
                      <w:color w:val="000000"/>
                      <w:sz w:val="20"/>
                    </w:rPr>
                    <w:t>1,300</w:t>
                  </w:r>
                </w:p>
              </w:tc>
              <w:tc>
                <w:tcPr>
                  <w:tcW w:w="1276" w:type="dxa"/>
                  <w:tcBorders>
                    <w:top w:val="nil"/>
                    <w:left w:val="nil"/>
                    <w:bottom w:val="single" w:sz="4" w:space="0" w:color="auto"/>
                    <w:right w:val="single" w:sz="4" w:space="0" w:color="auto"/>
                  </w:tcBorders>
                  <w:shd w:val="clear" w:color="auto" w:fill="auto"/>
                  <w:noWrap/>
                  <w:vAlign w:val="center"/>
                  <w:hideMark/>
                </w:tcPr>
                <w:p w14:paraId="75B86C11" w14:textId="77777777" w:rsidR="004E12B7" w:rsidRPr="00CD651D" w:rsidRDefault="00CE562C" w:rsidP="004E12B7">
                  <w:pPr>
                    <w:jc w:val="center"/>
                    <w:rPr>
                      <w:rFonts w:cs="Arial"/>
                      <w:b/>
                      <w:bCs/>
                      <w:color w:val="000000"/>
                      <w:sz w:val="20"/>
                    </w:rPr>
                  </w:pPr>
                  <w:r w:rsidRPr="00CD651D">
                    <w:rPr>
                      <w:rFonts w:cs="Arial"/>
                      <w:b/>
                      <w:bCs/>
                      <w:color w:val="000000"/>
                      <w:sz w:val="20"/>
                    </w:rPr>
                    <w:t>1,107</w:t>
                  </w:r>
                </w:p>
              </w:tc>
            </w:tr>
            <w:tr w:rsidR="00207C08" w14:paraId="7E61487D" w14:textId="77777777" w:rsidTr="004E12B7">
              <w:trPr>
                <w:trHeight w:val="315"/>
              </w:trPr>
              <w:tc>
                <w:tcPr>
                  <w:tcW w:w="5983" w:type="dxa"/>
                  <w:tcBorders>
                    <w:top w:val="nil"/>
                    <w:left w:val="nil"/>
                    <w:bottom w:val="nil"/>
                    <w:right w:val="nil"/>
                  </w:tcBorders>
                  <w:shd w:val="clear" w:color="auto" w:fill="auto"/>
                  <w:noWrap/>
                  <w:vAlign w:val="center"/>
                  <w:hideMark/>
                </w:tcPr>
                <w:p w14:paraId="68DE19E0" w14:textId="77777777" w:rsidR="004E12B7" w:rsidRPr="003F7978" w:rsidRDefault="009B446A" w:rsidP="004E12B7">
                  <w:pPr>
                    <w:jc w:val="center"/>
                    <w:rPr>
                      <w:rFonts w:cs="Arial"/>
                      <w:b/>
                      <w:bCs/>
                      <w:color w:val="000000"/>
                      <w:szCs w:val="24"/>
                    </w:rPr>
                  </w:pPr>
                </w:p>
              </w:tc>
              <w:tc>
                <w:tcPr>
                  <w:tcW w:w="1417" w:type="dxa"/>
                  <w:tcBorders>
                    <w:top w:val="nil"/>
                    <w:left w:val="nil"/>
                    <w:bottom w:val="nil"/>
                    <w:right w:val="nil"/>
                  </w:tcBorders>
                  <w:shd w:val="clear" w:color="auto" w:fill="auto"/>
                  <w:noWrap/>
                  <w:vAlign w:val="center"/>
                  <w:hideMark/>
                </w:tcPr>
                <w:p w14:paraId="2B939C04" w14:textId="77777777" w:rsidR="004E12B7" w:rsidRPr="003F7978" w:rsidRDefault="009B446A" w:rsidP="004E12B7">
                  <w:pPr>
                    <w:rPr>
                      <w:rFonts w:ascii="Times New Roman" w:hAnsi="Times New Roman"/>
                      <w:sz w:val="20"/>
                    </w:rPr>
                  </w:pPr>
                </w:p>
              </w:tc>
              <w:tc>
                <w:tcPr>
                  <w:tcW w:w="1276" w:type="dxa"/>
                  <w:tcBorders>
                    <w:top w:val="nil"/>
                    <w:left w:val="nil"/>
                    <w:bottom w:val="nil"/>
                    <w:right w:val="nil"/>
                  </w:tcBorders>
                  <w:shd w:val="clear" w:color="auto" w:fill="auto"/>
                  <w:noWrap/>
                  <w:vAlign w:val="center"/>
                  <w:hideMark/>
                </w:tcPr>
                <w:p w14:paraId="58D4FFAC" w14:textId="77777777" w:rsidR="004E12B7" w:rsidRPr="003F7978" w:rsidRDefault="009B446A" w:rsidP="004E12B7">
                  <w:pPr>
                    <w:jc w:val="center"/>
                    <w:rPr>
                      <w:rFonts w:ascii="Times New Roman" w:hAnsi="Times New Roman"/>
                      <w:sz w:val="20"/>
                    </w:rPr>
                  </w:pPr>
                </w:p>
              </w:tc>
            </w:tr>
            <w:tr w:rsidR="00207C08" w14:paraId="4CF06778" w14:textId="77777777" w:rsidTr="004E12B7">
              <w:trPr>
                <w:trHeight w:val="300"/>
              </w:trPr>
              <w:tc>
                <w:tcPr>
                  <w:tcW w:w="5983" w:type="dxa"/>
                  <w:tcBorders>
                    <w:top w:val="single" w:sz="4" w:space="0" w:color="auto"/>
                    <w:left w:val="single" w:sz="4" w:space="0" w:color="auto"/>
                    <w:bottom w:val="nil"/>
                    <w:right w:val="single" w:sz="4" w:space="0" w:color="auto"/>
                  </w:tcBorders>
                  <w:shd w:val="clear" w:color="auto" w:fill="auto"/>
                  <w:vAlign w:val="center"/>
                  <w:hideMark/>
                </w:tcPr>
                <w:p w14:paraId="7526EFE6" w14:textId="77777777" w:rsidR="004E12B7" w:rsidRPr="00CD651D" w:rsidRDefault="00CE562C" w:rsidP="004E12B7">
                  <w:pPr>
                    <w:rPr>
                      <w:rFonts w:cs="Arial"/>
                      <w:b/>
                      <w:bCs/>
                      <w:color w:val="000000"/>
                      <w:sz w:val="20"/>
                    </w:rPr>
                  </w:pPr>
                  <w:r w:rsidRPr="00CD651D">
                    <w:rPr>
                      <w:rFonts w:cs="Arial"/>
                      <w:b/>
                      <w:bCs/>
                      <w:color w:val="000000"/>
                      <w:sz w:val="20"/>
                    </w:rPr>
                    <w:t>Operational boundary for external debt</w:t>
                  </w:r>
                </w:p>
              </w:tc>
              <w:tc>
                <w:tcPr>
                  <w:tcW w:w="1417" w:type="dxa"/>
                  <w:vMerge w:val="restart"/>
                  <w:tcBorders>
                    <w:top w:val="single" w:sz="4" w:space="0" w:color="auto"/>
                    <w:left w:val="nil"/>
                    <w:bottom w:val="single" w:sz="4" w:space="0" w:color="auto"/>
                    <w:right w:val="single" w:sz="4" w:space="0" w:color="auto"/>
                  </w:tcBorders>
                  <w:shd w:val="clear" w:color="auto" w:fill="auto"/>
                  <w:noWrap/>
                  <w:vAlign w:val="center"/>
                  <w:hideMark/>
                </w:tcPr>
                <w:p w14:paraId="71CE3A92" w14:textId="77777777" w:rsidR="004E12B7" w:rsidRDefault="00CE562C" w:rsidP="004E12B7">
                  <w:pPr>
                    <w:jc w:val="center"/>
                    <w:rPr>
                      <w:rFonts w:cs="Arial"/>
                      <w:b/>
                      <w:bCs/>
                      <w:color w:val="000000"/>
                      <w:sz w:val="20"/>
                    </w:rPr>
                  </w:pPr>
                  <w:r w:rsidRPr="00CD651D">
                    <w:rPr>
                      <w:rFonts w:cs="Arial"/>
                      <w:b/>
                      <w:bCs/>
                      <w:color w:val="000000"/>
                      <w:sz w:val="20"/>
                    </w:rPr>
                    <w:t>2017/18</w:t>
                  </w:r>
                </w:p>
                <w:p w14:paraId="0FA9E229" w14:textId="77777777" w:rsidR="004E12B7" w:rsidRPr="00CD651D" w:rsidRDefault="00CE562C" w:rsidP="004E12B7">
                  <w:pPr>
                    <w:jc w:val="center"/>
                    <w:rPr>
                      <w:rFonts w:cs="Arial"/>
                      <w:b/>
                      <w:bCs/>
                      <w:color w:val="000000"/>
                      <w:sz w:val="20"/>
                    </w:rPr>
                  </w:pPr>
                  <w:r w:rsidRPr="00CD651D">
                    <w:rPr>
                      <w:rFonts w:cs="Arial"/>
                      <w:b/>
                      <w:bCs/>
                      <w:color w:val="000000"/>
                      <w:sz w:val="20"/>
                    </w:rPr>
                    <w:t>£m</w:t>
                  </w:r>
                </w:p>
              </w:tc>
              <w:tc>
                <w:tcPr>
                  <w:tcW w:w="1276" w:type="dxa"/>
                  <w:vMerge w:val="restart"/>
                  <w:tcBorders>
                    <w:top w:val="single" w:sz="4" w:space="0" w:color="auto"/>
                    <w:left w:val="single" w:sz="4" w:space="0" w:color="auto"/>
                    <w:bottom w:val="nil"/>
                    <w:right w:val="single" w:sz="4" w:space="0" w:color="auto"/>
                  </w:tcBorders>
                  <w:shd w:val="clear" w:color="auto" w:fill="auto"/>
                  <w:vAlign w:val="center"/>
                  <w:hideMark/>
                </w:tcPr>
                <w:p w14:paraId="035600C3" w14:textId="75426992" w:rsidR="004E12B7" w:rsidRDefault="00CE562C" w:rsidP="004E12B7">
                  <w:pPr>
                    <w:jc w:val="center"/>
                    <w:rPr>
                      <w:rFonts w:cs="Arial"/>
                      <w:b/>
                      <w:bCs/>
                      <w:color w:val="000000"/>
                      <w:sz w:val="20"/>
                    </w:rPr>
                  </w:pPr>
                  <w:r w:rsidRPr="00CD651D">
                    <w:rPr>
                      <w:rFonts w:cs="Arial"/>
                      <w:b/>
                      <w:bCs/>
                      <w:color w:val="000000"/>
                      <w:sz w:val="20"/>
                    </w:rPr>
                    <w:t>31st Mar</w:t>
                  </w:r>
                  <w:r w:rsidR="008150F6">
                    <w:rPr>
                      <w:rFonts w:cs="Arial"/>
                      <w:b/>
                      <w:bCs/>
                      <w:color w:val="000000"/>
                      <w:sz w:val="20"/>
                    </w:rPr>
                    <w:t>ch</w:t>
                  </w:r>
                  <w:r w:rsidRPr="00CD651D">
                    <w:rPr>
                      <w:rFonts w:cs="Arial"/>
                      <w:b/>
                      <w:bCs/>
                      <w:color w:val="000000"/>
                      <w:sz w:val="20"/>
                    </w:rPr>
                    <w:t xml:space="preserve"> Actual</w:t>
                  </w:r>
                </w:p>
                <w:p w14:paraId="1567DF5B" w14:textId="77777777" w:rsidR="004E12B7" w:rsidRPr="00CD651D" w:rsidRDefault="00CE562C" w:rsidP="004E12B7">
                  <w:pPr>
                    <w:jc w:val="center"/>
                    <w:rPr>
                      <w:rFonts w:cs="Arial"/>
                      <w:b/>
                      <w:bCs/>
                      <w:color w:val="000000"/>
                      <w:sz w:val="20"/>
                    </w:rPr>
                  </w:pPr>
                  <w:r w:rsidRPr="00CD651D">
                    <w:rPr>
                      <w:rFonts w:cs="Arial"/>
                      <w:b/>
                      <w:bCs/>
                      <w:color w:val="000000"/>
                      <w:sz w:val="20"/>
                    </w:rPr>
                    <w:t>£m</w:t>
                  </w:r>
                </w:p>
              </w:tc>
            </w:tr>
            <w:tr w:rsidR="00207C08" w14:paraId="4310012E" w14:textId="77777777" w:rsidTr="004E12B7">
              <w:trPr>
                <w:trHeight w:val="983"/>
              </w:trPr>
              <w:tc>
                <w:tcPr>
                  <w:tcW w:w="5983" w:type="dxa"/>
                  <w:tcBorders>
                    <w:top w:val="nil"/>
                    <w:left w:val="single" w:sz="4" w:space="0" w:color="auto"/>
                    <w:bottom w:val="single" w:sz="4" w:space="0" w:color="auto"/>
                    <w:right w:val="single" w:sz="4" w:space="0" w:color="auto"/>
                  </w:tcBorders>
                  <w:shd w:val="clear" w:color="auto" w:fill="auto"/>
                  <w:vAlign w:val="bottom"/>
                  <w:hideMark/>
                </w:tcPr>
                <w:p w14:paraId="3DBE5663" w14:textId="77777777" w:rsidR="004E12B7" w:rsidRPr="00CD651D" w:rsidRDefault="00CE562C" w:rsidP="000E4E04">
                  <w:pPr>
                    <w:rPr>
                      <w:rFonts w:cs="Arial"/>
                      <w:color w:val="000000"/>
                      <w:sz w:val="20"/>
                    </w:rPr>
                  </w:pPr>
                  <w:r w:rsidRPr="00CD651D">
                    <w:rPr>
                      <w:rFonts w:cs="Arial"/>
                      <w:color w:val="000000"/>
                      <w:sz w:val="20"/>
                    </w:rPr>
                    <w:t xml:space="preserve">The Operational Boundary is a prudent estimate of debt </w:t>
                  </w:r>
                  <w:r>
                    <w:rPr>
                      <w:rFonts w:cs="Arial"/>
                      <w:color w:val="000000"/>
                      <w:sz w:val="20"/>
                    </w:rPr>
                    <w:t>with</w:t>
                  </w:r>
                  <w:r w:rsidRPr="00CD651D">
                    <w:rPr>
                      <w:rFonts w:cs="Arial"/>
                      <w:color w:val="000000"/>
                      <w:sz w:val="20"/>
                    </w:rPr>
                    <w:t xml:space="preserve"> no provision for unusual cash movements. It represents the estimated maximum external debt arising as a consequence of the </w:t>
                  </w:r>
                  <w:r>
                    <w:rPr>
                      <w:rFonts w:cs="Arial"/>
                      <w:color w:val="000000"/>
                      <w:sz w:val="20"/>
                    </w:rPr>
                    <w:t xml:space="preserve">council's </w:t>
                  </w:r>
                  <w:r w:rsidRPr="00CD651D">
                    <w:rPr>
                      <w:rFonts w:cs="Arial"/>
                      <w:color w:val="000000"/>
                      <w:sz w:val="20"/>
                    </w:rPr>
                    <w:t>current plans</w:t>
                  </w:r>
                </w:p>
              </w:tc>
              <w:tc>
                <w:tcPr>
                  <w:tcW w:w="1417" w:type="dxa"/>
                  <w:vMerge/>
                  <w:tcBorders>
                    <w:top w:val="single" w:sz="4" w:space="0" w:color="auto"/>
                    <w:left w:val="nil"/>
                    <w:bottom w:val="single" w:sz="4" w:space="0" w:color="auto"/>
                    <w:right w:val="single" w:sz="4" w:space="0" w:color="auto"/>
                  </w:tcBorders>
                  <w:vAlign w:val="center"/>
                  <w:hideMark/>
                </w:tcPr>
                <w:p w14:paraId="4A04EE1A" w14:textId="77777777" w:rsidR="004E12B7" w:rsidRPr="00CD651D" w:rsidRDefault="009B446A" w:rsidP="004E12B7">
                  <w:pPr>
                    <w:rPr>
                      <w:rFonts w:cs="Arial"/>
                      <w:b/>
                      <w:bCs/>
                      <w:color w:val="000000"/>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A2F48FE" w14:textId="77777777" w:rsidR="004E12B7" w:rsidRPr="00CD651D" w:rsidRDefault="009B446A" w:rsidP="004E12B7">
                  <w:pPr>
                    <w:rPr>
                      <w:rFonts w:cs="Arial"/>
                      <w:b/>
                      <w:bCs/>
                      <w:color w:val="000000"/>
                      <w:sz w:val="20"/>
                    </w:rPr>
                  </w:pPr>
                </w:p>
              </w:tc>
            </w:tr>
            <w:tr w:rsidR="00207C08" w14:paraId="07DEA1FC" w14:textId="77777777" w:rsidTr="004E12B7">
              <w:trPr>
                <w:trHeight w:val="300"/>
              </w:trPr>
              <w:tc>
                <w:tcPr>
                  <w:tcW w:w="5983" w:type="dxa"/>
                  <w:tcBorders>
                    <w:top w:val="nil"/>
                    <w:left w:val="single" w:sz="4" w:space="0" w:color="auto"/>
                    <w:bottom w:val="single" w:sz="4" w:space="0" w:color="auto"/>
                    <w:right w:val="single" w:sz="4" w:space="0" w:color="auto"/>
                  </w:tcBorders>
                  <w:shd w:val="clear" w:color="auto" w:fill="auto"/>
                  <w:noWrap/>
                  <w:vAlign w:val="center"/>
                  <w:hideMark/>
                </w:tcPr>
                <w:p w14:paraId="580A116F" w14:textId="77777777" w:rsidR="004E12B7" w:rsidRPr="00CD651D" w:rsidRDefault="00CE562C" w:rsidP="004E12B7">
                  <w:pPr>
                    <w:rPr>
                      <w:rFonts w:cs="Arial"/>
                      <w:color w:val="000000"/>
                      <w:sz w:val="20"/>
                    </w:rPr>
                  </w:pPr>
                  <w:r w:rsidRPr="00CD651D">
                    <w:rPr>
                      <w:rFonts w:cs="Arial"/>
                      <w:color w:val="000000"/>
                      <w:sz w:val="20"/>
                    </w:rPr>
                    <w:t>Borrowing</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54BB35B" w14:textId="77777777" w:rsidR="004E12B7" w:rsidRPr="00CD651D" w:rsidRDefault="00CE562C" w:rsidP="004E12B7">
                  <w:pPr>
                    <w:jc w:val="center"/>
                    <w:rPr>
                      <w:rFonts w:cs="Arial"/>
                      <w:color w:val="000000"/>
                      <w:sz w:val="20"/>
                    </w:rPr>
                  </w:pPr>
                  <w:r w:rsidRPr="00CD651D">
                    <w:rPr>
                      <w:rFonts w:cs="Arial"/>
                      <w:color w:val="000000"/>
                      <w:sz w:val="20"/>
                    </w:rPr>
                    <w:t>1,075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42C7058" w14:textId="77777777" w:rsidR="004E12B7" w:rsidRPr="00CD651D" w:rsidRDefault="00CE562C" w:rsidP="004E12B7">
                  <w:pPr>
                    <w:jc w:val="center"/>
                    <w:rPr>
                      <w:rFonts w:cs="Arial"/>
                      <w:color w:val="000000"/>
                      <w:sz w:val="20"/>
                    </w:rPr>
                  </w:pPr>
                  <w:r w:rsidRPr="00CD651D">
                    <w:rPr>
                      <w:rFonts w:cs="Arial"/>
                      <w:color w:val="000000"/>
                      <w:sz w:val="20"/>
                    </w:rPr>
                    <w:t>950</w:t>
                  </w:r>
                </w:p>
              </w:tc>
            </w:tr>
            <w:tr w:rsidR="00207C08" w14:paraId="7780D95A" w14:textId="77777777" w:rsidTr="004E12B7">
              <w:trPr>
                <w:trHeight w:val="300"/>
              </w:trPr>
              <w:tc>
                <w:tcPr>
                  <w:tcW w:w="5983" w:type="dxa"/>
                  <w:tcBorders>
                    <w:top w:val="nil"/>
                    <w:left w:val="single" w:sz="4" w:space="0" w:color="auto"/>
                    <w:bottom w:val="single" w:sz="4" w:space="0" w:color="auto"/>
                    <w:right w:val="single" w:sz="4" w:space="0" w:color="auto"/>
                  </w:tcBorders>
                  <w:shd w:val="clear" w:color="auto" w:fill="auto"/>
                  <w:noWrap/>
                  <w:vAlign w:val="center"/>
                  <w:hideMark/>
                </w:tcPr>
                <w:p w14:paraId="02F8F500" w14:textId="77777777" w:rsidR="004E12B7" w:rsidRPr="00CD651D" w:rsidRDefault="00CE562C" w:rsidP="004E12B7">
                  <w:pPr>
                    <w:rPr>
                      <w:rFonts w:cs="Arial"/>
                      <w:color w:val="000000"/>
                      <w:sz w:val="20"/>
                    </w:rPr>
                  </w:pPr>
                  <w:r w:rsidRPr="00CD651D">
                    <w:rPr>
                      <w:rFonts w:cs="Arial"/>
                      <w:color w:val="000000"/>
                      <w:sz w:val="20"/>
                    </w:rPr>
                    <w:t>Other long term liabilities (PFI schemes)</w:t>
                  </w:r>
                </w:p>
              </w:tc>
              <w:tc>
                <w:tcPr>
                  <w:tcW w:w="1417" w:type="dxa"/>
                  <w:tcBorders>
                    <w:top w:val="nil"/>
                    <w:left w:val="nil"/>
                    <w:bottom w:val="single" w:sz="4" w:space="0" w:color="auto"/>
                    <w:right w:val="single" w:sz="4" w:space="0" w:color="auto"/>
                  </w:tcBorders>
                  <w:shd w:val="clear" w:color="auto" w:fill="auto"/>
                  <w:noWrap/>
                  <w:vAlign w:val="center"/>
                  <w:hideMark/>
                </w:tcPr>
                <w:p w14:paraId="23DBBA2C" w14:textId="77777777" w:rsidR="004E12B7" w:rsidRPr="00CD651D" w:rsidRDefault="00CE562C" w:rsidP="004E12B7">
                  <w:pPr>
                    <w:jc w:val="center"/>
                    <w:rPr>
                      <w:rFonts w:cs="Arial"/>
                      <w:color w:val="000000"/>
                      <w:sz w:val="20"/>
                    </w:rPr>
                  </w:pPr>
                  <w:r w:rsidRPr="00CD651D">
                    <w:rPr>
                      <w:rFonts w:cs="Arial"/>
                      <w:color w:val="000000"/>
                      <w:sz w:val="20"/>
                    </w:rPr>
                    <w:t>170</w:t>
                  </w:r>
                </w:p>
              </w:tc>
              <w:tc>
                <w:tcPr>
                  <w:tcW w:w="1276" w:type="dxa"/>
                  <w:tcBorders>
                    <w:top w:val="nil"/>
                    <w:left w:val="nil"/>
                    <w:bottom w:val="single" w:sz="4" w:space="0" w:color="auto"/>
                    <w:right w:val="single" w:sz="4" w:space="0" w:color="auto"/>
                  </w:tcBorders>
                  <w:shd w:val="clear" w:color="auto" w:fill="auto"/>
                  <w:noWrap/>
                  <w:vAlign w:val="center"/>
                  <w:hideMark/>
                </w:tcPr>
                <w:p w14:paraId="3F81F42B" w14:textId="77777777" w:rsidR="004E12B7" w:rsidRPr="00CD651D" w:rsidRDefault="00CE562C" w:rsidP="004E12B7">
                  <w:pPr>
                    <w:jc w:val="center"/>
                    <w:rPr>
                      <w:rFonts w:cs="Arial"/>
                      <w:color w:val="000000"/>
                      <w:sz w:val="20"/>
                    </w:rPr>
                  </w:pPr>
                  <w:r w:rsidRPr="00CD651D">
                    <w:rPr>
                      <w:rFonts w:cs="Arial"/>
                      <w:color w:val="000000"/>
                      <w:sz w:val="20"/>
                    </w:rPr>
                    <w:t>157</w:t>
                  </w:r>
                </w:p>
              </w:tc>
            </w:tr>
            <w:tr w:rsidR="00207C08" w14:paraId="159E8413" w14:textId="77777777" w:rsidTr="004E12B7">
              <w:trPr>
                <w:trHeight w:val="315"/>
              </w:trPr>
              <w:tc>
                <w:tcPr>
                  <w:tcW w:w="5983" w:type="dxa"/>
                  <w:tcBorders>
                    <w:top w:val="nil"/>
                    <w:left w:val="single" w:sz="4" w:space="0" w:color="auto"/>
                    <w:bottom w:val="single" w:sz="4" w:space="0" w:color="auto"/>
                    <w:right w:val="single" w:sz="4" w:space="0" w:color="auto"/>
                  </w:tcBorders>
                  <w:shd w:val="clear" w:color="auto" w:fill="auto"/>
                  <w:noWrap/>
                  <w:vAlign w:val="center"/>
                  <w:hideMark/>
                </w:tcPr>
                <w:p w14:paraId="251F59B1" w14:textId="77777777" w:rsidR="004E12B7" w:rsidRPr="00CD651D" w:rsidRDefault="00CE562C" w:rsidP="004E12B7">
                  <w:pPr>
                    <w:rPr>
                      <w:rFonts w:cs="Arial"/>
                      <w:b/>
                      <w:bCs/>
                      <w:color w:val="000000"/>
                      <w:sz w:val="20"/>
                    </w:rPr>
                  </w:pPr>
                  <w:r w:rsidRPr="00CD651D">
                    <w:rPr>
                      <w:rFonts w:cs="Arial"/>
                      <w:b/>
                      <w:bCs/>
                      <w:color w:val="000000"/>
                      <w:sz w:val="20"/>
                    </w:rPr>
                    <w:t>TOTAL</w:t>
                  </w:r>
                </w:p>
              </w:tc>
              <w:tc>
                <w:tcPr>
                  <w:tcW w:w="1417" w:type="dxa"/>
                  <w:tcBorders>
                    <w:top w:val="nil"/>
                    <w:left w:val="nil"/>
                    <w:bottom w:val="single" w:sz="4" w:space="0" w:color="auto"/>
                    <w:right w:val="single" w:sz="4" w:space="0" w:color="auto"/>
                  </w:tcBorders>
                  <w:shd w:val="clear" w:color="auto" w:fill="auto"/>
                  <w:noWrap/>
                  <w:vAlign w:val="center"/>
                  <w:hideMark/>
                </w:tcPr>
                <w:p w14:paraId="3EC0A8DA" w14:textId="77777777" w:rsidR="004E12B7" w:rsidRPr="00CD651D" w:rsidRDefault="00CE562C" w:rsidP="004E12B7">
                  <w:pPr>
                    <w:jc w:val="center"/>
                    <w:rPr>
                      <w:rFonts w:cs="Arial"/>
                      <w:b/>
                      <w:bCs/>
                      <w:color w:val="000000"/>
                      <w:sz w:val="20"/>
                    </w:rPr>
                  </w:pPr>
                  <w:r w:rsidRPr="00CD651D">
                    <w:rPr>
                      <w:rFonts w:cs="Arial"/>
                      <w:b/>
                      <w:bCs/>
                      <w:color w:val="000000"/>
                      <w:sz w:val="20"/>
                    </w:rPr>
                    <w:t>1,245</w:t>
                  </w:r>
                </w:p>
              </w:tc>
              <w:tc>
                <w:tcPr>
                  <w:tcW w:w="1276" w:type="dxa"/>
                  <w:tcBorders>
                    <w:top w:val="nil"/>
                    <w:left w:val="nil"/>
                    <w:bottom w:val="single" w:sz="4" w:space="0" w:color="auto"/>
                    <w:right w:val="single" w:sz="4" w:space="0" w:color="auto"/>
                  </w:tcBorders>
                  <w:shd w:val="clear" w:color="auto" w:fill="auto"/>
                  <w:noWrap/>
                  <w:vAlign w:val="center"/>
                  <w:hideMark/>
                </w:tcPr>
                <w:p w14:paraId="001A8CF7" w14:textId="77777777" w:rsidR="004E12B7" w:rsidRPr="00CD651D" w:rsidRDefault="00CE562C" w:rsidP="004E12B7">
                  <w:pPr>
                    <w:jc w:val="center"/>
                    <w:rPr>
                      <w:rFonts w:cs="Arial"/>
                      <w:b/>
                      <w:bCs/>
                      <w:color w:val="000000"/>
                      <w:sz w:val="20"/>
                    </w:rPr>
                  </w:pPr>
                  <w:r w:rsidRPr="00CD651D">
                    <w:rPr>
                      <w:rFonts w:cs="Arial"/>
                      <w:b/>
                      <w:bCs/>
                      <w:color w:val="000000"/>
                      <w:sz w:val="20"/>
                    </w:rPr>
                    <w:t>1,107</w:t>
                  </w:r>
                </w:p>
              </w:tc>
            </w:tr>
          </w:tbl>
          <w:p w14:paraId="7D3D840C" w14:textId="77777777" w:rsidR="004E12B7" w:rsidRPr="00B06B0C" w:rsidRDefault="009B446A" w:rsidP="004E12B7">
            <w:pPr>
              <w:jc w:val="both"/>
              <w:rPr>
                <w:rFonts w:cs="Arial"/>
                <w:color w:val="000000"/>
                <w:szCs w:val="24"/>
                <w:highlight w:val="yellow"/>
              </w:rPr>
            </w:pPr>
          </w:p>
        </w:tc>
        <w:tc>
          <w:tcPr>
            <w:tcW w:w="1693" w:type="dxa"/>
            <w:tcBorders>
              <w:top w:val="nil"/>
              <w:left w:val="nil"/>
              <w:bottom w:val="nil"/>
              <w:right w:val="nil"/>
            </w:tcBorders>
            <w:shd w:val="clear" w:color="auto" w:fill="auto"/>
            <w:noWrap/>
            <w:vAlign w:val="center"/>
            <w:hideMark/>
          </w:tcPr>
          <w:p w14:paraId="3BFFC2F1" w14:textId="77777777" w:rsidR="004E12B7" w:rsidRPr="00B06B0C" w:rsidRDefault="009B446A" w:rsidP="004E12B7">
            <w:pPr>
              <w:jc w:val="both"/>
              <w:rPr>
                <w:rFonts w:ascii="Times New Roman" w:hAnsi="Times New Roman"/>
                <w:sz w:val="20"/>
                <w:highlight w:val="yellow"/>
              </w:rPr>
            </w:pPr>
          </w:p>
        </w:tc>
        <w:tc>
          <w:tcPr>
            <w:tcW w:w="1711" w:type="dxa"/>
            <w:tcBorders>
              <w:top w:val="nil"/>
              <w:left w:val="nil"/>
              <w:bottom w:val="nil"/>
              <w:right w:val="nil"/>
            </w:tcBorders>
            <w:shd w:val="clear" w:color="auto" w:fill="auto"/>
            <w:noWrap/>
            <w:vAlign w:val="center"/>
            <w:hideMark/>
          </w:tcPr>
          <w:p w14:paraId="5DE669E5" w14:textId="77777777" w:rsidR="004E12B7" w:rsidRPr="00B06B0C" w:rsidRDefault="009B446A" w:rsidP="004E12B7">
            <w:pPr>
              <w:jc w:val="both"/>
              <w:rPr>
                <w:rFonts w:ascii="Times New Roman" w:hAnsi="Times New Roman"/>
                <w:sz w:val="20"/>
                <w:highlight w:val="yellow"/>
              </w:rPr>
            </w:pPr>
          </w:p>
        </w:tc>
      </w:tr>
      <w:tr w:rsidR="00207C08" w14:paraId="2344A5D5" w14:textId="77777777" w:rsidTr="004E12B7">
        <w:trPr>
          <w:trHeight w:val="313"/>
        </w:trPr>
        <w:tc>
          <w:tcPr>
            <w:tcW w:w="10446" w:type="dxa"/>
            <w:tcBorders>
              <w:top w:val="nil"/>
              <w:left w:val="nil"/>
              <w:bottom w:val="nil"/>
              <w:right w:val="nil"/>
            </w:tcBorders>
            <w:shd w:val="clear" w:color="auto" w:fill="auto"/>
            <w:vAlign w:val="center"/>
            <w:hideMark/>
          </w:tcPr>
          <w:p w14:paraId="2B950B53" w14:textId="77777777" w:rsidR="004E12B7" w:rsidRPr="00CD651D" w:rsidRDefault="009B446A" w:rsidP="004E12B7">
            <w:pPr>
              <w:jc w:val="both"/>
              <w:rPr>
                <w:rFonts w:cs="Arial"/>
                <w:sz w:val="20"/>
                <w:highlight w:val="yellow"/>
              </w:rPr>
            </w:pPr>
          </w:p>
        </w:tc>
        <w:tc>
          <w:tcPr>
            <w:tcW w:w="1693" w:type="dxa"/>
            <w:tcBorders>
              <w:top w:val="nil"/>
              <w:left w:val="nil"/>
              <w:bottom w:val="nil"/>
              <w:right w:val="nil"/>
            </w:tcBorders>
            <w:shd w:val="clear" w:color="auto" w:fill="auto"/>
            <w:noWrap/>
            <w:vAlign w:val="center"/>
            <w:hideMark/>
          </w:tcPr>
          <w:p w14:paraId="0FE03E5B" w14:textId="77777777" w:rsidR="004E12B7" w:rsidRPr="00B06B0C" w:rsidRDefault="009B446A" w:rsidP="004E12B7">
            <w:pPr>
              <w:jc w:val="both"/>
              <w:rPr>
                <w:rFonts w:ascii="Times New Roman" w:hAnsi="Times New Roman"/>
                <w:sz w:val="20"/>
                <w:highlight w:val="yellow"/>
              </w:rPr>
            </w:pPr>
          </w:p>
        </w:tc>
        <w:tc>
          <w:tcPr>
            <w:tcW w:w="1711" w:type="dxa"/>
            <w:tcBorders>
              <w:top w:val="nil"/>
              <w:left w:val="nil"/>
              <w:bottom w:val="nil"/>
              <w:right w:val="nil"/>
            </w:tcBorders>
            <w:shd w:val="clear" w:color="auto" w:fill="auto"/>
            <w:noWrap/>
            <w:vAlign w:val="bottom"/>
            <w:hideMark/>
          </w:tcPr>
          <w:p w14:paraId="28C4DC50" w14:textId="77777777" w:rsidR="004E12B7" w:rsidRPr="00B06B0C" w:rsidRDefault="009B446A" w:rsidP="004E12B7">
            <w:pPr>
              <w:jc w:val="both"/>
              <w:rPr>
                <w:rFonts w:ascii="Times New Roman" w:hAnsi="Times New Roman"/>
                <w:sz w:val="20"/>
                <w:highlight w:val="yellow"/>
              </w:rPr>
            </w:pPr>
          </w:p>
        </w:tc>
      </w:tr>
      <w:tr w:rsidR="00207C08" w14:paraId="028A6D10" w14:textId="77777777" w:rsidTr="004E12B7">
        <w:trPr>
          <w:trHeight w:val="558"/>
        </w:trPr>
        <w:tc>
          <w:tcPr>
            <w:tcW w:w="10446" w:type="dxa"/>
            <w:tcBorders>
              <w:top w:val="nil"/>
              <w:left w:val="nil"/>
              <w:bottom w:val="nil"/>
              <w:right w:val="nil"/>
            </w:tcBorders>
            <w:shd w:val="clear" w:color="auto" w:fill="auto"/>
            <w:noWrap/>
            <w:vAlign w:val="bottom"/>
            <w:hideMark/>
          </w:tcPr>
          <w:tbl>
            <w:tblPr>
              <w:tblW w:w="8676" w:type="dxa"/>
              <w:tblLook w:val="04A0" w:firstRow="1" w:lastRow="0" w:firstColumn="1" w:lastColumn="0" w:noHBand="0" w:noVBand="1"/>
            </w:tblPr>
            <w:tblGrid>
              <w:gridCol w:w="5983"/>
              <w:gridCol w:w="1417"/>
              <w:gridCol w:w="1276"/>
            </w:tblGrid>
            <w:tr w:rsidR="00207C08" w14:paraId="467584E1" w14:textId="77777777" w:rsidTr="004E12B7">
              <w:trPr>
                <w:trHeight w:val="300"/>
              </w:trPr>
              <w:tc>
                <w:tcPr>
                  <w:tcW w:w="5983" w:type="dxa"/>
                  <w:tcBorders>
                    <w:top w:val="single" w:sz="4" w:space="0" w:color="auto"/>
                    <w:left w:val="single" w:sz="4" w:space="0" w:color="auto"/>
                    <w:bottom w:val="nil"/>
                    <w:right w:val="single" w:sz="4" w:space="0" w:color="auto"/>
                  </w:tcBorders>
                  <w:shd w:val="clear" w:color="auto" w:fill="auto"/>
                  <w:vAlign w:val="center"/>
                  <w:hideMark/>
                </w:tcPr>
                <w:p w14:paraId="1B9A9BC5" w14:textId="77777777" w:rsidR="004E12B7" w:rsidRPr="00CD651D" w:rsidRDefault="00CE562C" w:rsidP="004E12B7">
                  <w:pPr>
                    <w:rPr>
                      <w:rFonts w:cs="Arial"/>
                      <w:b/>
                      <w:bCs/>
                      <w:color w:val="000000"/>
                      <w:sz w:val="20"/>
                    </w:rPr>
                  </w:pPr>
                  <w:r w:rsidRPr="00CD651D">
                    <w:rPr>
                      <w:rFonts w:cs="Arial"/>
                      <w:b/>
                      <w:bCs/>
                      <w:color w:val="000000"/>
                      <w:sz w:val="20"/>
                    </w:rPr>
                    <w:t>Capital Financing Requirement to Gross Debt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6A1AC" w14:textId="77777777" w:rsidR="004E12B7" w:rsidRDefault="00CE562C" w:rsidP="004E12B7">
                  <w:pPr>
                    <w:jc w:val="center"/>
                    <w:rPr>
                      <w:rFonts w:cs="Arial"/>
                      <w:b/>
                      <w:bCs/>
                      <w:color w:val="000000"/>
                      <w:sz w:val="20"/>
                    </w:rPr>
                  </w:pPr>
                  <w:r w:rsidRPr="00CD651D">
                    <w:rPr>
                      <w:rFonts w:cs="Arial"/>
                      <w:b/>
                      <w:bCs/>
                      <w:color w:val="000000"/>
                      <w:sz w:val="20"/>
                    </w:rPr>
                    <w:t>2017/18</w:t>
                  </w:r>
                </w:p>
                <w:p w14:paraId="3784F370" w14:textId="77777777" w:rsidR="004E12B7" w:rsidRPr="00CD651D" w:rsidRDefault="00CE562C" w:rsidP="004E12B7">
                  <w:pPr>
                    <w:jc w:val="center"/>
                    <w:rPr>
                      <w:rFonts w:cs="Arial"/>
                      <w:b/>
                      <w:bCs/>
                      <w:color w:val="000000"/>
                      <w:sz w:val="20"/>
                    </w:rPr>
                  </w:pPr>
                  <w:r w:rsidRPr="00CD651D">
                    <w:rPr>
                      <w:rFonts w:cs="Arial"/>
                      <w:b/>
                      <w:bCs/>
                      <w:color w:val="000000"/>
                      <w:sz w:val="20"/>
                    </w:rPr>
                    <w:t>£m</w:t>
                  </w:r>
                </w:p>
              </w:tc>
              <w:tc>
                <w:tcPr>
                  <w:tcW w:w="1276" w:type="dxa"/>
                  <w:vMerge w:val="restart"/>
                  <w:tcBorders>
                    <w:top w:val="single" w:sz="4" w:space="0" w:color="auto"/>
                    <w:left w:val="single" w:sz="4" w:space="0" w:color="auto"/>
                    <w:bottom w:val="nil"/>
                    <w:right w:val="single" w:sz="4" w:space="0" w:color="auto"/>
                  </w:tcBorders>
                  <w:shd w:val="clear" w:color="auto" w:fill="auto"/>
                  <w:vAlign w:val="center"/>
                  <w:hideMark/>
                </w:tcPr>
                <w:p w14:paraId="027BF31F" w14:textId="0FD90EA3" w:rsidR="004E12B7" w:rsidRDefault="00CE562C" w:rsidP="004E12B7">
                  <w:pPr>
                    <w:jc w:val="center"/>
                    <w:rPr>
                      <w:rFonts w:cs="Arial"/>
                      <w:b/>
                      <w:bCs/>
                      <w:color w:val="000000"/>
                      <w:sz w:val="20"/>
                    </w:rPr>
                  </w:pPr>
                  <w:r w:rsidRPr="00CD651D">
                    <w:rPr>
                      <w:rFonts w:cs="Arial"/>
                      <w:b/>
                      <w:bCs/>
                      <w:color w:val="000000"/>
                      <w:sz w:val="20"/>
                    </w:rPr>
                    <w:t>31st Mar</w:t>
                  </w:r>
                  <w:r w:rsidR="008150F6">
                    <w:rPr>
                      <w:rFonts w:cs="Arial"/>
                      <w:b/>
                      <w:bCs/>
                      <w:color w:val="000000"/>
                      <w:sz w:val="20"/>
                    </w:rPr>
                    <w:t>ch</w:t>
                  </w:r>
                  <w:r w:rsidRPr="00CD651D">
                    <w:rPr>
                      <w:rFonts w:cs="Arial"/>
                      <w:b/>
                      <w:bCs/>
                      <w:color w:val="000000"/>
                      <w:sz w:val="20"/>
                    </w:rPr>
                    <w:t xml:space="preserve"> Actual</w:t>
                  </w:r>
                </w:p>
                <w:p w14:paraId="682AA129" w14:textId="77777777" w:rsidR="004E12B7" w:rsidRPr="00CD651D" w:rsidRDefault="00CE562C" w:rsidP="004E12B7">
                  <w:pPr>
                    <w:jc w:val="center"/>
                    <w:rPr>
                      <w:rFonts w:cs="Arial"/>
                      <w:b/>
                      <w:bCs/>
                      <w:color w:val="000000"/>
                      <w:sz w:val="20"/>
                    </w:rPr>
                  </w:pPr>
                  <w:r w:rsidRPr="00CD651D">
                    <w:rPr>
                      <w:rFonts w:cs="Arial"/>
                      <w:b/>
                      <w:bCs/>
                      <w:color w:val="000000"/>
                      <w:sz w:val="20"/>
                    </w:rPr>
                    <w:t>£m</w:t>
                  </w:r>
                </w:p>
              </w:tc>
            </w:tr>
            <w:tr w:rsidR="00207C08" w14:paraId="7DB1C885" w14:textId="77777777" w:rsidTr="004E12B7">
              <w:trPr>
                <w:trHeight w:val="1283"/>
              </w:trPr>
              <w:tc>
                <w:tcPr>
                  <w:tcW w:w="5983" w:type="dxa"/>
                  <w:tcBorders>
                    <w:top w:val="nil"/>
                    <w:left w:val="single" w:sz="4" w:space="0" w:color="auto"/>
                    <w:bottom w:val="single" w:sz="4" w:space="0" w:color="auto"/>
                    <w:right w:val="single" w:sz="4" w:space="0" w:color="auto"/>
                  </w:tcBorders>
                  <w:shd w:val="clear" w:color="auto" w:fill="auto"/>
                  <w:vAlign w:val="bottom"/>
                  <w:hideMark/>
                </w:tcPr>
                <w:p w14:paraId="25777432" w14:textId="77777777" w:rsidR="004E12B7" w:rsidRPr="00CD651D" w:rsidRDefault="00CE562C" w:rsidP="004E12B7">
                  <w:pPr>
                    <w:rPr>
                      <w:rFonts w:cs="Arial"/>
                      <w:color w:val="000000"/>
                      <w:sz w:val="20"/>
                    </w:rPr>
                  </w:pPr>
                  <w:r w:rsidRPr="00CD651D">
                    <w:rPr>
                      <w:rFonts w:cs="Arial"/>
                      <w:color w:val="000000"/>
                      <w:sz w:val="20"/>
                    </w:rPr>
                    <w:t>The Capital Financing requirement is the underlying need to borrow for capital purposes. This is the cumulative effect of past borrowing decisions and future plans. This is not the same as the actual borrowing on any one day, as day to day borrowing requirements incorporate the effect of cash flow movements relating to both capital and revenue expenditure and income</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2B16E70" w14:textId="77777777" w:rsidR="004E12B7" w:rsidRPr="00CD651D" w:rsidRDefault="009B446A" w:rsidP="004E12B7">
                  <w:pPr>
                    <w:rPr>
                      <w:rFonts w:cs="Arial"/>
                      <w:b/>
                      <w:bCs/>
                      <w:color w:val="000000"/>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BE6BB72" w14:textId="77777777" w:rsidR="004E12B7" w:rsidRPr="00CD651D" w:rsidRDefault="009B446A" w:rsidP="004E12B7">
                  <w:pPr>
                    <w:rPr>
                      <w:rFonts w:cs="Arial"/>
                      <w:b/>
                      <w:bCs/>
                      <w:color w:val="000000"/>
                      <w:sz w:val="20"/>
                    </w:rPr>
                  </w:pPr>
                </w:p>
              </w:tc>
            </w:tr>
            <w:tr w:rsidR="00207C08" w14:paraId="4D62EFC2" w14:textId="77777777" w:rsidTr="004E12B7">
              <w:trPr>
                <w:trHeight w:val="300"/>
              </w:trPr>
              <w:tc>
                <w:tcPr>
                  <w:tcW w:w="5983" w:type="dxa"/>
                  <w:tcBorders>
                    <w:top w:val="nil"/>
                    <w:left w:val="single" w:sz="4" w:space="0" w:color="auto"/>
                    <w:bottom w:val="single" w:sz="4" w:space="0" w:color="auto"/>
                    <w:right w:val="single" w:sz="4" w:space="0" w:color="auto"/>
                  </w:tcBorders>
                  <w:shd w:val="clear" w:color="auto" w:fill="auto"/>
                  <w:noWrap/>
                  <w:vAlign w:val="center"/>
                  <w:hideMark/>
                </w:tcPr>
                <w:p w14:paraId="28669ACB" w14:textId="77777777" w:rsidR="004E12B7" w:rsidRPr="00CD651D" w:rsidRDefault="00CE562C" w:rsidP="004E12B7">
                  <w:pPr>
                    <w:rPr>
                      <w:rFonts w:cs="Arial"/>
                      <w:color w:val="000000"/>
                      <w:sz w:val="20"/>
                    </w:rPr>
                  </w:pPr>
                  <w:r w:rsidRPr="00CD651D">
                    <w:rPr>
                      <w:rFonts w:cs="Arial"/>
                      <w:color w:val="000000"/>
                      <w:sz w:val="20"/>
                    </w:rPr>
                    <w:t>Capital Financing Requirement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34D169F" w14:textId="77777777" w:rsidR="004E12B7" w:rsidRPr="00CD651D" w:rsidRDefault="00CE562C" w:rsidP="004E12B7">
                  <w:pPr>
                    <w:jc w:val="center"/>
                    <w:rPr>
                      <w:rFonts w:cs="Arial"/>
                      <w:color w:val="000000"/>
                      <w:sz w:val="20"/>
                    </w:rPr>
                  </w:pPr>
                  <w:r w:rsidRPr="00CD651D">
                    <w:rPr>
                      <w:rFonts w:cs="Arial"/>
                      <w:color w:val="000000"/>
                      <w:sz w:val="20"/>
                    </w:rPr>
                    <w:t>843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F698011" w14:textId="77777777" w:rsidR="004E12B7" w:rsidRPr="00CD651D" w:rsidRDefault="00CE562C" w:rsidP="004E12B7">
                  <w:pPr>
                    <w:jc w:val="center"/>
                    <w:rPr>
                      <w:rFonts w:cs="Arial"/>
                      <w:color w:val="000000"/>
                      <w:sz w:val="20"/>
                    </w:rPr>
                  </w:pPr>
                  <w:r w:rsidRPr="00CD651D">
                    <w:rPr>
                      <w:rFonts w:cs="Arial"/>
                      <w:color w:val="000000"/>
                      <w:sz w:val="20"/>
                    </w:rPr>
                    <w:t>843</w:t>
                  </w:r>
                </w:p>
              </w:tc>
            </w:tr>
            <w:tr w:rsidR="00207C08" w14:paraId="0D4F4030" w14:textId="77777777" w:rsidTr="004E12B7">
              <w:trPr>
                <w:trHeight w:val="300"/>
              </w:trPr>
              <w:tc>
                <w:tcPr>
                  <w:tcW w:w="5983" w:type="dxa"/>
                  <w:tcBorders>
                    <w:top w:val="nil"/>
                    <w:left w:val="single" w:sz="4" w:space="0" w:color="auto"/>
                    <w:bottom w:val="single" w:sz="4" w:space="0" w:color="auto"/>
                    <w:right w:val="single" w:sz="4" w:space="0" w:color="auto"/>
                  </w:tcBorders>
                  <w:shd w:val="clear" w:color="auto" w:fill="auto"/>
                  <w:noWrap/>
                  <w:vAlign w:val="center"/>
                  <w:hideMark/>
                </w:tcPr>
                <w:p w14:paraId="6794BF50" w14:textId="77777777" w:rsidR="004E12B7" w:rsidRPr="00CD651D" w:rsidRDefault="00CE562C" w:rsidP="004E12B7">
                  <w:pPr>
                    <w:rPr>
                      <w:rFonts w:cs="Arial"/>
                      <w:color w:val="000000"/>
                      <w:sz w:val="20"/>
                    </w:rPr>
                  </w:pPr>
                  <w:r w:rsidRPr="00CD651D">
                    <w:rPr>
                      <w:rFonts w:cs="Arial"/>
                      <w:color w:val="000000"/>
                      <w:sz w:val="20"/>
                    </w:rPr>
                    <w:t>Estimated gross debt</w:t>
                  </w:r>
                </w:p>
              </w:tc>
              <w:tc>
                <w:tcPr>
                  <w:tcW w:w="1417" w:type="dxa"/>
                  <w:tcBorders>
                    <w:top w:val="nil"/>
                    <w:left w:val="nil"/>
                    <w:bottom w:val="single" w:sz="4" w:space="0" w:color="auto"/>
                    <w:right w:val="single" w:sz="4" w:space="0" w:color="auto"/>
                  </w:tcBorders>
                  <w:shd w:val="clear" w:color="auto" w:fill="auto"/>
                  <w:noWrap/>
                  <w:vAlign w:val="center"/>
                  <w:hideMark/>
                </w:tcPr>
                <w:p w14:paraId="507C5819" w14:textId="77777777" w:rsidR="004E12B7" w:rsidRPr="00CD651D" w:rsidRDefault="00CE562C" w:rsidP="004E12B7">
                  <w:pPr>
                    <w:jc w:val="center"/>
                    <w:rPr>
                      <w:rFonts w:cs="Arial"/>
                      <w:color w:val="000000"/>
                      <w:sz w:val="20"/>
                    </w:rPr>
                  </w:pPr>
                  <w:r w:rsidRPr="00CD651D">
                    <w:rPr>
                      <w:rFonts w:cs="Arial"/>
                      <w:color w:val="000000"/>
                      <w:sz w:val="20"/>
                    </w:rPr>
                    <w:t>1,003</w:t>
                  </w:r>
                </w:p>
              </w:tc>
              <w:tc>
                <w:tcPr>
                  <w:tcW w:w="1276" w:type="dxa"/>
                  <w:tcBorders>
                    <w:top w:val="nil"/>
                    <w:left w:val="nil"/>
                    <w:bottom w:val="single" w:sz="4" w:space="0" w:color="auto"/>
                    <w:right w:val="single" w:sz="4" w:space="0" w:color="auto"/>
                  </w:tcBorders>
                  <w:shd w:val="clear" w:color="auto" w:fill="auto"/>
                  <w:noWrap/>
                  <w:vAlign w:val="center"/>
                  <w:hideMark/>
                </w:tcPr>
                <w:p w14:paraId="4D4C9079" w14:textId="77777777" w:rsidR="004E12B7" w:rsidRPr="00CD651D" w:rsidRDefault="00CE562C" w:rsidP="004E12B7">
                  <w:pPr>
                    <w:jc w:val="center"/>
                    <w:rPr>
                      <w:rFonts w:cs="Arial"/>
                      <w:color w:val="000000"/>
                      <w:sz w:val="20"/>
                    </w:rPr>
                  </w:pPr>
                  <w:r w:rsidRPr="00CD651D">
                    <w:rPr>
                      <w:rFonts w:cs="Arial"/>
                      <w:color w:val="000000"/>
                      <w:sz w:val="20"/>
                    </w:rPr>
                    <w:t>950</w:t>
                  </w:r>
                </w:p>
              </w:tc>
            </w:tr>
            <w:tr w:rsidR="00207C08" w14:paraId="61ADDE0C" w14:textId="77777777" w:rsidTr="004E12B7">
              <w:trPr>
                <w:trHeight w:val="300"/>
              </w:trPr>
              <w:tc>
                <w:tcPr>
                  <w:tcW w:w="5983" w:type="dxa"/>
                  <w:tcBorders>
                    <w:top w:val="nil"/>
                    <w:left w:val="single" w:sz="4" w:space="0" w:color="auto"/>
                    <w:bottom w:val="single" w:sz="4" w:space="0" w:color="auto"/>
                    <w:right w:val="single" w:sz="4" w:space="0" w:color="auto"/>
                  </w:tcBorders>
                  <w:shd w:val="clear" w:color="auto" w:fill="auto"/>
                  <w:noWrap/>
                  <w:vAlign w:val="center"/>
                  <w:hideMark/>
                </w:tcPr>
                <w:p w14:paraId="345E16D4" w14:textId="15133BCA" w:rsidR="004E12B7" w:rsidRPr="00CD651D" w:rsidRDefault="00CE562C" w:rsidP="004E12B7">
                  <w:pPr>
                    <w:rPr>
                      <w:rFonts w:cs="Arial"/>
                      <w:color w:val="000000"/>
                      <w:sz w:val="20"/>
                    </w:rPr>
                  </w:pPr>
                  <w:r w:rsidRPr="00CD651D">
                    <w:rPr>
                      <w:rFonts w:cs="Arial"/>
                      <w:color w:val="000000"/>
                      <w:sz w:val="20"/>
                    </w:rPr>
                    <w:t>Debt to Capital Financing Requirement</w:t>
                  </w:r>
                </w:p>
              </w:tc>
              <w:tc>
                <w:tcPr>
                  <w:tcW w:w="1417" w:type="dxa"/>
                  <w:tcBorders>
                    <w:top w:val="nil"/>
                    <w:left w:val="nil"/>
                    <w:bottom w:val="single" w:sz="4" w:space="0" w:color="auto"/>
                    <w:right w:val="single" w:sz="4" w:space="0" w:color="auto"/>
                  </w:tcBorders>
                  <w:shd w:val="clear" w:color="auto" w:fill="auto"/>
                  <w:noWrap/>
                  <w:vAlign w:val="center"/>
                  <w:hideMark/>
                </w:tcPr>
                <w:p w14:paraId="189E8EFF" w14:textId="77777777" w:rsidR="004E12B7" w:rsidRPr="00CD651D" w:rsidRDefault="00CE562C" w:rsidP="004E12B7">
                  <w:pPr>
                    <w:jc w:val="center"/>
                    <w:rPr>
                      <w:rFonts w:cs="Arial"/>
                      <w:color w:val="000000"/>
                      <w:sz w:val="20"/>
                    </w:rPr>
                  </w:pPr>
                  <w:r w:rsidRPr="00CD651D">
                    <w:rPr>
                      <w:rFonts w:cs="Arial"/>
                      <w:color w:val="000000"/>
                      <w:sz w:val="20"/>
                    </w:rPr>
                    <w:t>119%</w:t>
                  </w:r>
                </w:p>
              </w:tc>
              <w:tc>
                <w:tcPr>
                  <w:tcW w:w="1276" w:type="dxa"/>
                  <w:tcBorders>
                    <w:top w:val="nil"/>
                    <w:left w:val="nil"/>
                    <w:bottom w:val="single" w:sz="4" w:space="0" w:color="auto"/>
                    <w:right w:val="single" w:sz="4" w:space="0" w:color="auto"/>
                  </w:tcBorders>
                  <w:shd w:val="clear" w:color="auto" w:fill="auto"/>
                  <w:noWrap/>
                  <w:vAlign w:val="center"/>
                  <w:hideMark/>
                </w:tcPr>
                <w:p w14:paraId="15E08729" w14:textId="77777777" w:rsidR="004E12B7" w:rsidRPr="00CD651D" w:rsidRDefault="00CE562C" w:rsidP="004E12B7">
                  <w:pPr>
                    <w:jc w:val="center"/>
                    <w:rPr>
                      <w:rFonts w:cs="Arial"/>
                      <w:color w:val="000000"/>
                      <w:sz w:val="20"/>
                    </w:rPr>
                  </w:pPr>
                  <w:r w:rsidRPr="00CD651D">
                    <w:rPr>
                      <w:rFonts w:cs="Arial"/>
                      <w:color w:val="000000"/>
                      <w:sz w:val="20"/>
                    </w:rPr>
                    <w:t>113%</w:t>
                  </w:r>
                </w:p>
              </w:tc>
            </w:tr>
          </w:tbl>
          <w:p w14:paraId="662C6E5D" w14:textId="77777777" w:rsidR="004E12B7" w:rsidRPr="00CD651D" w:rsidRDefault="009B446A" w:rsidP="004E12B7">
            <w:pPr>
              <w:jc w:val="both"/>
              <w:rPr>
                <w:rFonts w:cs="Arial"/>
                <w:b/>
                <w:bCs/>
                <w:color w:val="000000"/>
                <w:sz w:val="20"/>
                <w:highlight w:val="yellow"/>
              </w:rPr>
            </w:pPr>
          </w:p>
        </w:tc>
        <w:tc>
          <w:tcPr>
            <w:tcW w:w="1693" w:type="dxa"/>
            <w:tcBorders>
              <w:top w:val="nil"/>
              <w:left w:val="nil"/>
              <w:bottom w:val="nil"/>
              <w:right w:val="nil"/>
            </w:tcBorders>
            <w:shd w:val="clear" w:color="auto" w:fill="auto"/>
            <w:noWrap/>
            <w:vAlign w:val="bottom"/>
            <w:hideMark/>
          </w:tcPr>
          <w:p w14:paraId="5192D73A" w14:textId="77777777" w:rsidR="004E12B7" w:rsidRPr="00B06B0C" w:rsidRDefault="009B446A" w:rsidP="004E12B7">
            <w:pPr>
              <w:jc w:val="both"/>
              <w:rPr>
                <w:rFonts w:ascii="Times New Roman" w:hAnsi="Times New Roman"/>
                <w:sz w:val="20"/>
                <w:highlight w:val="yellow"/>
              </w:rPr>
            </w:pPr>
          </w:p>
        </w:tc>
        <w:tc>
          <w:tcPr>
            <w:tcW w:w="1711" w:type="dxa"/>
            <w:tcBorders>
              <w:top w:val="nil"/>
              <w:left w:val="nil"/>
              <w:bottom w:val="nil"/>
              <w:right w:val="nil"/>
            </w:tcBorders>
            <w:shd w:val="clear" w:color="auto" w:fill="auto"/>
            <w:noWrap/>
            <w:vAlign w:val="bottom"/>
            <w:hideMark/>
          </w:tcPr>
          <w:p w14:paraId="0957A610" w14:textId="77777777" w:rsidR="004E12B7" w:rsidRPr="00B06B0C" w:rsidRDefault="009B446A" w:rsidP="004E12B7">
            <w:pPr>
              <w:jc w:val="both"/>
              <w:rPr>
                <w:rFonts w:ascii="Times New Roman" w:hAnsi="Times New Roman"/>
                <w:sz w:val="20"/>
                <w:highlight w:val="yellow"/>
              </w:rPr>
            </w:pPr>
          </w:p>
        </w:tc>
      </w:tr>
      <w:tr w:rsidR="00207C08" w14:paraId="62F4A7D2" w14:textId="77777777" w:rsidTr="004E12B7">
        <w:trPr>
          <w:trHeight w:val="297"/>
        </w:trPr>
        <w:tc>
          <w:tcPr>
            <w:tcW w:w="10446" w:type="dxa"/>
            <w:tcBorders>
              <w:top w:val="nil"/>
              <w:left w:val="nil"/>
              <w:bottom w:val="nil"/>
              <w:right w:val="nil"/>
            </w:tcBorders>
            <w:shd w:val="clear" w:color="auto" w:fill="auto"/>
            <w:noWrap/>
            <w:vAlign w:val="bottom"/>
            <w:hideMark/>
          </w:tcPr>
          <w:p w14:paraId="1386A999" w14:textId="77777777" w:rsidR="004E12B7" w:rsidRPr="00B06B0C" w:rsidRDefault="009B446A" w:rsidP="004E12B7">
            <w:pPr>
              <w:jc w:val="both"/>
              <w:rPr>
                <w:rFonts w:cs="Arial"/>
                <w:color w:val="000000"/>
                <w:szCs w:val="24"/>
                <w:highlight w:val="yellow"/>
              </w:rPr>
            </w:pPr>
          </w:p>
        </w:tc>
        <w:tc>
          <w:tcPr>
            <w:tcW w:w="1693" w:type="dxa"/>
            <w:tcBorders>
              <w:top w:val="nil"/>
              <w:left w:val="nil"/>
              <w:bottom w:val="nil"/>
              <w:right w:val="nil"/>
            </w:tcBorders>
            <w:shd w:val="clear" w:color="auto" w:fill="auto"/>
            <w:noWrap/>
            <w:vAlign w:val="bottom"/>
            <w:hideMark/>
          </w:tcPr>
          <w:p w14:paraId="3025218F" w14:textId="77777777" w:rsidR="004E12B7" w:rsidRPr="00B06B0C" w:rsidRDefault="009B446A" w:rsidP="004E12B7">
            <w:pPr>
              <w:jc w:val="both"/>
              <w:rPr>
                <w:rFonts w:ascii="Times New Roman" w:hAnsi="Times New Roman"/>
                <w:sz w:val="20"/>
                <w:highlight w:val="yellow"/>
              </w:rPr>
            </w:pPr>
          </w:p>
        </w:tc>
        <w:tc>
          <w:tcPr>
            <w:tcW w:w="1711" w:type="dxa"/>
            <w:tcBorders>
              <w:top w:val="nil"/>
              <w:left w:val="nil"/>
              <w:bottom w:val="nil"/>
              <w:right w:val="nil"/>
            </w:tcBorders>
            <w:shd w:val="clear" w:color="auto" w:fill="auto"/>
            <w:noWrap/>
            <w:vAlign w:val="bottom"/>
            <w:hideMark/>
          </w:tcPr>
          <w:p w14:paraId="1B8546AA" w14:textId="77777777" w:rsidR="004E12B7" w:rsidRPr="00B06B0C" w:rsidRDefault="009B446A" w:rsidP="004E12B7">
            <w:pPr>
              <w:jc w:val="both"/>
              <w:rPr>
                <w:rFonts w:ascii="Times New Roman" w:hAnsi="Times New Roman"/>
                <w:sz w:val="20"/>
                <w:highlight w:val="yellow"/>
              </w:rPr>
            </w:pPr>
          </w:p>
        </w:tc>
      </w:tr>
      <w:tr w:rsidR="00207C08" w14:paraId="4AC3C5D6" w14:textId="77777777" w:rsidTr="004E12B7">
        <w:trPr>
          <w:trHeight w:val="297"/>
        </w:trPr>
        <w:tc>
          <w:tcPr>
            <w:tcW w:w="13850" w:type="dxa"/>
            <w:gridSpan w:val="3"/>
            <w:tcBorders>
              <w:top w:val="nil"/>
              <w:left w:val="nil"/>
              <w:bottom w:val="nil"/>
              <w:right w:val="nil"/>
            </w:tcBorders>
            <w:shd w:val="clear" w:color="auto" w:fill="auto"/>
            <w:noWrap/>
            <w:vAlign w:val="center"/>
            <w:hideMark/>
          </w:tcPr>
          <w:p w14:paraId="5ED708BE" w14:textId="77777777" w:rsidR="004E12B7" w:rsidRDefault="00CE562C" w:rsidP="004E12B7">
            <w:pPr>
              <w:ind w:right="4670"/>
              <w:jc w:val="both"/>
              <w:rPr>
                <w:szCs w:val="24"/>
              </w:rPr>
            </w:pPr>
            <w:r w:rsidRPr="00633E34">
              <w:rPr>
                <w:szCs w:val="24"/>
              </w:rPr>
              <w:t xml:space="preserve">Gross borrowing appears higher than the capital financing requirement because the shared investment scheme is accounted for as borrowing, but it does not form part of the capital financing requirement calculation. Adjustments are also required for </w:t>
            </w:r>
            <w:r>
              <w:rPr>
                <w:szCs w:val="24"/>
              </w:rPr>
              <w:t>p</w:t>
            </w:r>
            <w:r w:rsidRPr="00633E34">
              <w:rPr>
                <w:szCs w:val="24"/>
              </w:rPr>
              <w:t xml:space="preserve">remiums, long term debtor and transferred debt. The adjusted gross debt is slightly above the CFR which represents borrowing in advance for capital </w:t>
            </w:r>
            <w:r>
              <w:rPr>
                <w:szCs w:val="24"/>
              </w:rPr>
              <w:t>which</w:t>
            </w:r>
            <w:r w:rsidRPr="00633E34">
              <w:rPr>
                <w:szCs w:val="24"/>
              </w:rPr>
              <w:t xml:space="preserve"> is </w:t>
            </w:r>
            <w:r>
              <w:rPr>
                <w:szCs w:val="24"/>
              </w:rPr>
              <w:t xml:space="preserve">allowable </w:t>
            </w:r>
            <w:r w:rsidRPr="00633E34">
              <w:rPr>
                <w:szCs w:val="24"/>
              </w:rPr>
              <w:t xml:space="preserve">within the Code. </w:t>
            </w:r>
          </w:p>
          <w:p w14:paraId="7A77389D" w14:textId="77777777" w:rsidR="004E12B7" w:rsidRPr="00B06B0C" w:rsidRDefault="009B446A" w:rsidP="004E12B7">
            <w:pPr>
              <w:jc w:val="both"/>
              <w:rPr>
                <w:rFonts w:cs="Arial"/>
                <w:b/>
                <w:bCs/>
                <w:color w:val="000000"/>
                <w:sz w:val="20"/>
                <w:highlight w:val="yellow"/>
              </w:rPr>
            </w:pPr>
          </w:p>
        </w:tc>
      </w:tr>
    </w:tbl>
    <w:tbl>
      <w:tblPr>
        <w:tblStyle w:val="TableGrid"/>
        <w:tblW w:w="8647" w:type="dxa"/>
        <w:tblInd w:w="137" w:type="dxa"/>
        <w:tblLayout w:type="fixed"/>
        <w:tblLook w:val="04A0" w:firstRow="1" w:lastRow="0" w:firstColumn="1" w:lastColumn="0" w:noHBand="0" w:noVBand="1"/>
      </w:tblPr>
      <w:tblGrid>
        <w:gridCol w:w="5954"/>
        <w:gridCol w:w="1417"/>
        <w:gridCol w:w="1276"/>
      </w:tblGrid>
      <w:tr w:rsidR="00207C08" w14:paraId="45ADD332" w14:textId="77777777" w:rsidTr="004E12B7">
        <w:tc>
          <w:tcPr>
            <w:tcW w:w="5954" w:type="dxa"/>
            <w:tcBorders>
              <w:bottom w:val="single" w:sz="4" w:space="0" w:color="auto"/>
            </w:tcBorders>
          </w:tcPr>
          <w:p w14:paraId="538984AC" w14:textId="77777777" w:rsidR="004E12B7" w:rsidRPr="00CD651D" w:rsidRDefault="009B446A" w:rsidP="004E12B7">
            <w:pPr>
              <w:jc w:val="both"/>
              <w:rPr>
                <w:b/>
                <w:sz w:val="20"/>
              </w:rPr>
            </w:pPr>
          </w:p>
        </w:tc>
        <w:tc>
          <w:tcPr>
            <w:tcW w:w="1417" w:type="dxa"/>
            <w:tcBorders>
              <w:bottom w:val="single" w:sz="4" w:space="0" w:color="auto"/>
            </w:tcBorders>
          </w:tcPr>
          <w:p w14:paraId="5DB3A3D5" w14:textId="77777777" w:rsidR="004E12B7" w:rsidRPr="00CD651D" w:rsidRDefault="00CE562C" w:rsidP="004E12B7">
            <w:pPr>
              <w:jc w:val="center"/>
              <w:rPr>
                <w:b/>
                <w:sz w:val="20"/>
              </w:rPr>
            </w:pPr>
            <w:r w:rsidRPr="00CD651D">
              <w:rPr>
                <w:b/>
                <w:sz w:val="20"/>
              </w:rPr>
              <w:t>Estimate %</w:t>
            </w:r>
          </w:p>
        </w:tc>
        <w:tc>
          <w:tcPr>
            <w:tcW w:w="1276" w:type="dxa"/>
            <w:tcBorders>
              <w:bottom w:val="single" w:sz="4" w:space="0" w:color="auto"/>
            </w:tcBorders>
          </w:tcPr>
          <w:p w14:paraId="4FA10B0E" w14:textId="77777777" w:rsidR="004E12B7" w:rsidRDefault="00CE562C" w:rsidP="004E12B7">
            <w:pPr>
              <w:jc w:val="center"/>
              <w:rPr>
                <w:b/>
                <w:sz w:val="20"/>
              </w:rPr>
            </w:pPr>
            <w:r w:rsidRPr="00CD651D">
              <w:rPr>
                <w:b/>
                <w:sz w:val="20"/>
              </w:rPr>
              <w:t xml:space="preserve">Actual </w:t>
            </w:r>
          </w:p>
          <w:p w14:paraId="7031E868" w14:textId="77777777" w:rsidR="004E12B7" w:rsidRPr="00CD651D" w:rsidRDefault="00CE562C" w:rsidP="004E12B7">
            <w:pPr>
              <w:jc w:val="center"/>
              <w:rPr>
                <w:b/>
                <w:sz w:val="20"/>
              </w:rPr>
            </w:pPr>
            <w:r w:rsidRPr="00CD651D">
              <w:rPr>
                <w:b/>
                <w:sz w:val="20"/>
              </w:rPr>
              <w:t>%</w:t>
            </w:r>
          </w:p>
        </w:tc>
      </w:tr>
      <w:tr w:rsidR="00207C08" w14:paraId="38BD9C04" w14:textId="77777777" w:rsidTr="004E12B7">
        <w:tc>
          <w:tcPr>
            <w:tcW w:w="5954" w:type="dxa"/>
            <w:tcBorders>
              <w:bottom w:val="single" w:sz="4" w:space="0" w:color="auto"/>
            </w:tcBorders>
          </w:tcPr>
          <w:p w14:paraId="388BF0EB" w14:textId="4119FBAA" w:rsidR="00221206" w:rsidRDefault="00CE562C" w:rsidP="00221206">
            <w:pPr>
              <w:jc w:val="both"/>
              <w:rPr>
                <w:sz w:val="20"/>
              </w:rPr>
            </w:pPr>
            <w:r w:rsidRPr="00221206">
              <w:rPr>
                <w:b/>
                <w:sz w:val="20"/>
              </w:rPr>
              <w:t>Ratio of financing costs to net revenue expenditure</w:t>
            </w:r>
          </w:p>
          <w:p w14:paraId="6BA63359" w14:textId="39DD5055" w:rsidR="004E12B7" w:rsidRPr="0075728F" w:rsidRDefault="00CE562C" w:rsidP="00221206">
            <w:pPr>
              <w:jc w:val="both"/>
              <w:rPr>
                <w:sz w:val="20"/>
                <w:highlight w:val="yellow"/>
              </w:rPr>
            </w:pPr>
            <w:r>
              <w:rPr>
                <w:sz w:val="20"/>
              </w:rPr>
              <w:t>This indicator provides information o</w:t>
            </w:r>
            <w:r w:rsidR="00925760">
              <w:rPr>
                <w:sz w:val="20"/>
              </w:rPr>
              <w:t>n</w:t>
            </w:r>
            <w:r>
              <w:rPr>
                <w:sz w:val="20"/>
              </w:rPr>
              <w:t xml:space="preserve"> the impact of borrowing on the revenue budget and the long term affordability of the Capital Programme.</w:t>
            </w:r>
          </w:p>
        </w:tc>
        <w:tc>
          <w:tcPr>
            <w:tcW w:w="1417" w:type="dxa"/>
            <w:tcBorders>
              <w:bottom w:val="single" w:sz="4" w:space="0" w:color="auto"/>
            </w:tcBorders>
          </w:tcPr>
          <w:p w14:paraId="620CBE36" w14:textId="77777777" w:rsidR="004E12B7" w:rsidRPr="0075728F" w:rsidRDefault="00CE562C" w:rsidP="00221206">
            <w:pPr>
              <w:jc w:val="center"/>
              <w:rPr>
                <w:sz w:val="20"/>
                <w:highlight w:val="yellow"/>
              </w:rPr>
            </w:pPr>
            <w:r w:rsidRPr="0075728F">
              <w:rPr>
                <w:sz w:val="20"/>
              </w:rPr>
              <w:t>5.19</w:t>
            </w:r>
          </w:p>
        </w:tc>
        <w:tc>
          <w:tcPr>
            <w:tcW w:w="1276" w:type="dxa"/>
            <w:tcBorders>
              <w:bottom w:val="single" w:sz="4" w:space="0" w:color="auto"/>
            </w:tcBorders>
          </w:tcPr>
          <w:p w14:paraId="1DEA1894" w14:textId="77777777" w:rsidR="004E12B7" w:rsidRPr="0075728F" w:rsidRDefault="00CE562C" w:rsidP="00221206">
            <w:pPr>
              <w:jc w:val="center"/>
              <w:rPr>
                <w:sz w:val="20"/>
                <w:highlight w:val="yellow"/>
              </w:rPr>
            </w:pPr>
            <w:r w:rsidRPr="0075728F">
              <w:rPr>
                <w:sz w:val="20"/>
              </w:rPr>
              <w:t>3.84</w:t>
            </w:r>
          </w:p>
        </w:tc>
      </w:tr>
      <w:tr w:rsidR="00207C08" w14:paraId="47C57CF8" w14:textId="77777777" w:rsidTr="004E12B7">
        <w:tc>
          <w:tcPr>
            <w:tcW w:w="5954" w:type="dxa"/>
            <w:tcBorders>
              <w:top w:val="single" w:sz="4" w:space="0" w:color="auto"/>
              <w:left w:val="nil"/>
              <w:bottom w:val="nil"/>
              <w:right w:val="nil"/>
            </w:tcBorders>
          </w:tcPr>
          <w:p w14:paraId="5D170C69" w14:textId="77777777" w:rsidR="004E12B7" w:rsidRPr="00CD651D" w:rsidRDefault="009B446A" w:rsidP="004E12B7">
            <w:pPr>
              <w:jc w:val="both"/>
              <w:rPr>
                <w:b/>
                <w:sz w:val="20"/>
              </w:rPr>
            </w:pPr>
          </w:p>
        </w:tc>
        <w:tc>
          <w:tcPr>
            <w:tcW w:w="1417" w:type="dxa"/>
            <w:tcBorders>
              <w:top w:val="single" w:sz="4" w:space="0" w:color="auto"/>
              <w:left w:val="nil"/>
              <w:bottom w:val="nil"/>
              <w:right w:val="nil"/>
            </w:tcBorders>
          </w:tcPr>
          <w:p w14:paraId="5843F282" w14:textId="77777777" w:rsidR="004E12B7" w:rsidRPr="00CD651D" w:rsidRDefault="009B446A" w:rsidP="004E12B7">
            <w:pPr>
              <w:jc w:val="center"/>
              <w:rPr>
                <w:b/>
                <w:sz w:val="20"/>
              </w:rPr>
            </w:pPr>
          </w:p>
        </w:tc>
        <w:tc>
          <w:tcPr>
            <w:tcW w:w="1276" w:type="dxa"/>
            <w:tcBorders>
              <w:top w:val="single" w:sz="4" w:space="0" w:color="auto"/>
              <w:left w:val="nil"/>
              <w:bottom w:val="nil"/>
              <w:right w:val="nil"/>
            </w:tcBorders>
          </w:tcPr>
          <w:p w14:paraId="41BB4150" w14:textId="77777777" w:rsidR="004E12B7" w:rsidRPr="00CD651D" w:rsidRDefault="009B446A" w:rsidP="004E12B7">
            <w:pPr>
              <w:jc w:val="center"/>
              <w:rPr>
                <w:b/>
                <w:sz w:val="20"/>
              </w:rPr>
            </w:pPr>
          </w:p>
        </w:tc>
      </w:tr>
    </w:tbl>
    <w:tbl>
      <w:tblPr>
        <w:tblW w:w="8647" w:type="dxa"/>
        <w:tblInd w:w="137" w:type="dxa"/>
        <w:tblLayout w:type="fixed"/>
        <w:tblLook w:val="04A0" w:firstRow="1" w:lastRow="0" w:firstColumn="1" w:lastColumn="0" w:noHBand="0" w:noVBand="1"/>
      </w:tblPr>
      <w:tblGrid>
        <w:gridCol w:w="4034"/>
        <w:gridCol w:w="644"/>
        <w:gridCol w:w="590"/>
        <w:gridCol w:w="686"/>
        <w:gridCol w:w="1417"/>
        <w:gridCol w:w="1276"/>
      </w:tblGrid>
      <w:tr w:rsidR="00207C08" w14:paraId="1AB17CE7" w14:textId="77777777" w:rsidTr="004E12B7">
        <w:trPr>
          <w:trHeight w:val="316"/>
        </w:trPr>
        <w:tc>
          <w:tcPr>
            <w:tcW w:w="5954" w:type="dxa"/>
            <w:gridSpan w:val="4"/>
            <w:tcBorders>
              <w:top w:val="single" w:sz="4" w:space="0" w:color="auto"/>
              <w:left w:val="single" w:sz="4" w:space="0" w:color="auto"/>
              <w:bottom w:val="nil"/>
              <w:right w:val="single" w:sz="4" w:space="0" w:color="auto"/>
            </w:tcBorders>
            <w:shd w:val="clear" w:color="auto" w:fill="auto"/>
            <w:noWrap/>
            <w:vAlign w:val="center"/>
            <w:hideMark/>
          </w:tcPr>
          <w:p w14:paraId="7E5806F0" w14:textId="77777777" w:rsidR="004E12B7" w:rsidRPr="00CD651D" w:rsidRDefault="00CE562C" w:rsidP="004E12B7">
            <w:pPr>
              <w:jc w:val="both"/>
              <w:rPr>
                <w:rFonts w:cs="Arial"/>
                <w:b/>
                <w:bCs/>
                <w:color w:val="000000"/>
                <w:sz w:val="20"/>
              </w:rPr>
            </w:pPr>
            <w:r w:rsidRPr="00CD651D">
              <w:rPr>
                <w:rFonts w:cs="Arial"/>
                <w:b/>
                <w:bCs/>
                <w:color w:val="000000"/>
                <w:sz w:val="20"/>
              </w:rPr>
              <w:t>Interest Rate exposure</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F2505" w14:textId="77777777" w:rsidR="004E12B7" w:rsidRDefault="00CE562C" w:rsidP="004E12B7">
            <w:pPr>
              <w:jc w:val="center"/>
              <w:rPr>
                <w:rFonts w:cs="Arial"/>
                <w:b/>
                <w:bCs/>
                <w:color w:val="000000"/>
                <w:sz w:val="20"/>
              </w:rPr>
            </w:pPr>
            <w:r w:rsidRPr="00CD651D">
              <w:rPr>
                <w:rFonts w:cs="Arial"/>
                <w:b/>
                <w:bCs/>
                <w:color w:val="000000"/>
                <w:sz w:val="20"/>
              </w:rPr>
              <w:t>Upper Limit</w:t>
            </w:r>
          </w:p>
          <w:p w14:paraId="6A0BDFCB" w14:textId="77777777" w:rsidR="004E12B7" w:rsidRPr="00CD651D" w:rsidRDefault="00CE562C" w:rsidP="004E12B7">
            <w:pPr>
              <w:jc w:val="center"/>
              <w:rPr>
                <w:rFonts w:cs="Arial"/>
                <w:b/>
                <w:bCs/>
                <w:color w:val="000000"/>
                <w:sz w:val="20"/>
              </w:rPr>
            </w:pPr>
            <w:r w:rsidRPr="00CD651D">
              <w:rPr>
                <w:rFonts w:cs="Arial"/>
                <w:b/>
                <w:bCs/>
                <w:color w:val="000000"/>
                <w:sz w:val="20"/>
              </w:rPr>
              <w:t>£m</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56AAD" w14:textId="77777777" w:rsidR="004E12B7" w:rsidRDefault="00CE562C" w:rsidP="004E12B7">
            <w:pPr>
              <w:jc w:val="center"/>
              <w:rPr>
                <w:rFonts w:cs="Arial"/>
                <w:b/>
                <w:bCs/>
                <w:color w:val="000000"/>
                <w:sz w:val="20"/>
              </w:rPr>
            </w:pPr>
            <w:r w:rsidRPr="00CD651D">
              <w:rPr>
                <w:rFonts w:cs="Arial"/>
                <w:b/>
                <w:bCs/>
                <w:color w:val="000000"/>
                <w:sz w:val="20"/>
              </w:rPr>
              <w:t>Actual</w:t>
            </w:r>
          </w:p>
          <w:p w14:paraId="532A5952" w14:textId="77777777" w:rsidR="004E12B7" w:rsidRPr="00CD651D" w:rsidRDefault="00CE562C" w:rsidP="004E12B7">
            <w:pPr>
              <w:jc w:val="center"/>
              <w:rPr>
                <w:rFonts w:cs="Arial"/>
                <w:b/>
                <w:bCs/>
                <w:color w:val="000000"/>
                <w:sz w:val="20"/>
              </w:rPr>
            </w:pPr>
            <w:r w:rsidRPr="00CD651D">
              <w:rPr>
                <w:rFonts w:cs="Arial"/>
                <w:b/>
                <w:bCs/>
                <w:color w:val="000000"/>
                <w:sz w:val="20"/>
              </w:rPr>
              <w:t>£m</w:t>
            </w:r>
          </w:p>
        </w:tc>
      </w:tr>
      <w:tr w:rsidR="00207C08" w14:paraId="4930852C" w14:textId="77777777" w:rsidTr="004E12B7">
        <w:trPr>
          <w:trHeight w:val="880"/>
        </w:trPr>
        <w:tc>
          <w:tcPr>
            <w:tcW w:w="5954" w:type="dxa"/>
            <w:gridSpan w:val="4"/>
            <w:tcBorders>
              <w:top w:val="nil"/>
              <w:left w:val="single" w:sz="4" w:space="0" w:color="auto"/>
              <w:bottom w:val="single" w:sz="4" w:space="0" w:color="auto"/>
              <w:right w:val="single" w:sz="4" w:space="0" w:color="auto"/>
            </w:tcBorders>
            <w:shd w:val="clear" w:color="auto" w:fill="auto"/>
            <w:vAlign w:val="center"/>
            <w:hideMark/>
          </w:tcPr>
          <w:p w14:paraId="261162CA" w14:textId="77777777" w:rsidR="004E12B7" w:rsidRPr="00CD651D" w:rsidRDefault="00CE562C" w:rsidP="004E12B7">
            <w:pPr>
              <w:jc w:val="both"/>
              <w:rPr>
                <w:rFonts w:cs="Arial"/>
                <w:color w:val="000000"/>
                <w:sz w:val="20"/>
              </w:rPr>
            </w:pPr>
            <w:r w:rsidRPr="00CD651D">
              <w:rPr>
                <w:rFonts w:cs="Arial"/>
                <w:color w:val="000000"/>
                <w:sz w:val="20"/>
              </w:rPr>
              <w:t xml:space="preserve">The limit measures the </w:t>
            </w:r>
            <w:r>
              <w:rPr>
                <w:rFonts w:cs="Arial"/>
                <w:color w:val="000000"/>
                <w:sz w:val="20"/>
              </w:rPr>
              <w:t>council's</w:t>
            </w:r>
            <w:r w:rsidRPr="00CD651D">
              <w:rPr>
                <w:rFonts w:cs="Arial"/>
                <w:color w:val="000000"/>
                <w:sz w:val="20"/>
              </w:rPr>
              <w:t xml:space="preserve"> exposure to the risk of interest rate movements. The one year impact indicator calculates the theoretical impact on the revenue account of an immediate 1% rise in all interest rates over the course of one financial year</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407B40E" w14:textId="77777777" w:rsidR="004E12B7" w:rsidRPr="00CD651D" w:rsidRDefault="009B446A" w:rsidP="004E12B7">
            <w:pPr>
              <w:jc w:val="center"/>
              <w:rPr>
                <w:rFonts w:cs="Arial"/>
                <w:b/>
                <w:bCs/>
                <w:color w:val="000000"/>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6933A4E" w14:textId="77777777" w:rsidR="004E12B7" w:rsidRPr="00CD651D" w:rsidRDefault="009B446A" w:rsidP="004E12B7">
            <w:pPr>
              <w:jc w:val="center"/>
              <w:rPr>
                <w:rFonts w:cs="Arial"/>
                <w:b/>
                <w:bCs/>
                <w:color w:val="000000"/>
                <w:sz w:val="20"/>
              </w:rPr>
            </w:pPr>
          </w:p>
        </w:tc>
      </w:tr>
      <w:tr w:rsidR="00207C08" w14:paraId="5117A427" w14:textId="77777777" w:rsidTr="004E12B7">
        <w:trPr>
          <w:trHeight w:val="273"/>
        </w:trPr>
        <w:tc>
          <w:tcPr>
            <w:tcW w:w="595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571C3B8" w14:textId="77777777" w:rsidR="004E12B7" w:rsidRPr="00CD651D" w:rsidRDefault="00CE562C" w:rsidP="004E12B7">
            <w:pPr>
              <w:spacing w:before="100" w:beforeAutospacing="1" w:after="100" w:afterAutospacing="1"/>
              <w:jc w:val="both"/>
              <w:rPr>
                <w:rFonts w:cs="Arial"/>
                <w:color w:val="000000"/>
                <w:sz w:val="20"/>
              </w:rPr>
            </w:pPr>
            <w:r w:rsidRPr="00CD651D">
              <w:rPr>
                <w:rFonts w:cs="Arial"/>
                <w:color w:val="000000"/>
                <w:sz w:val="20"/>
              </w:rPr>
              <w:t>Net Interest Payable – Fixed Rate</w:t>
            </w:r>
          </w:p>
        </w:tc>
        <w:tc>
          <w:tcPr>
            <w:tcW w:w="1417" w:type="dxa"/>
            <w:tcBorders>
              <w:top w:val="nil"/>
              <w:left w:val="nil"/>
              <w:bottom w:val="single" w:sz="4" w:space="0" w:color="auto"/>
              <w:right w:val="single" w:sz="4" w:space="0" w:color="auto"/>
            </w:tcBorders>
            <w:shd w:val="clear" w:color="auto" w:fill="auto"/>
            <w:noWrap/>
            <w:vAlign w:val="center"/>
            <w:hideMark/>
          </w:tcPr>
          <w:p w14:paraId="586E68C5" w14:textId="77777777" w:rsidR="004E12B7" w:rsidRPr="00CD651D" w:rsidRDefault="00CE562C" w:rsidP="004E12B7">
            <w:pPr>
              <w:spacing w:before="100" w:beforeAutospacing="1" w:after="100" w:afterAutospacing="1"/>
              <w:jc w:val="center"/>
              <w:rPr>
                <w:rFonts w:cs="Arial"/>
                <w:color w:val="000000"/>
                <w:sz w:val="20"/>
              </w:rPr>
            </w:pPr>
            <w:r w:rsidRPr="00CD651D">
              <w:rPr>
                <w:rFonts w:cs="Arial"/>
                <w:color w:val="000000"/>
                <w:sz w:val="20"/>
              </w:rPr>
              <w:t>50.40</w:t>
            </w:r>
          </w:p>
        </w:tc>
        <w:tc>
          <w:tcPr>
            <w:tcW w:w="1276" w:type="dxa"/>
            <w:tcBorders>
              <w:top w:val="nil"/>
              <w:left w:val="nil"/>
              <w:bottom w:val="single" w:sz="4" w:space="0" w:color="auto"/>
              <w:right w:val="single" w:sz="4" w:space="0" w:color="auto"/>
            </w:tcBorders>
            <w:shd w:val="clear" w:color="auto" w:fill="auto"/>
            <w:noWrap/>
            <w:vAlign w:val="center"/>
            <w:hideMark/>
          </w:tcPr>
          <w:p w14:paraId="1EB6423B" w14:textId="77777777" w:rsidR="004E12B7" w:rsidRPr="00CD651D" w:rsidRDefault="00CE562C" w:rsidP="004E12B7">
            <w:pPr>
              <w:spacing w:before="100" w:beforeAutospacing="1" w:after="100" w:afterAutospacing="1"/>
              <w:jc w:val="center"/>
              <w:rPr>
                <w:rFonts w:cs="Arial"/>
                <w:color w:val="000000"/>
                <w:sz w:val="20"/>
              </w:rPr>
            </w:pPr>
            <w:r w:rsidRPr="00CD651D">
              <w:rPr>
                <w:rFonts w:cs="Arial"/>
                <w:color w:val="000000"/>
                <w:sz w:val="20"/>
              </w:rPr>
              <w:t>9.8</w:t>
            </w:r>
            <w:r>
              <w:rPr>
                <w:rFonts w:cs="Arial"/>
                <w:color w:val="000000"/>
                <w:sz w:val="20"/>
              </w:rPr>
              <w:t>0</w:t>
            </w:r>
          </w:p>
        </w:tc>
      </w:tr>
      <w:tr w:rsidR="00207C08" w14:paraId="00A060CC" w14:textId="77777777" w:rsidTr="004E12B7">
        <w:trPr>
          <w:trHeight w:val="135"/>
        </w:trPr>
        <w:tc>
          <w:tcPr>
            <w:tcW w:w="595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15A64" w14:textId="77777777" w:rsidR="004E12B7" w:rsidRPr="00CD651D" w:rsidRDefault="00CE562C" w:rsidP="004E12B7">
            <w:pPr>
              <w:spacing w:before="100" w:beforeAutospacing="1" w:after="100" w:afterAutospacing="1"/>
              <w:jc w:val="both"/>
              <w:rPr>
                <w:rFonts w:cs="Arial"/>
                <w:color w:val="000000"/>
                <w:sz w:val="20"/>
              </w:rPr>
            </w:pPr>
            <w:r w:rsidRPr="00CD651D">
              <w:rPr>
                <w:rFonts w:cs="Arial"/>
                <w:color w:val="000000"/>
                <w:sz w:val="20"/>
              </w:rPr>
              <w:t>Net Interest Payable – Variable Rate</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56939" w14:textId="77777777" w:rsidR="004E12B7" w:rsidRPr="00CD651D" w:rsidRDefault="00CE562C" w:rsidP="004E12B7">
            <w:pPr>
              <w:spacing w:before="100" w:beforeAutospacing="1" w:after="100" w:afterAutospacing="1"/>
              <w:jc w:val="center"/>
              <w:rPr>
                <w:rFonts w:cs="Arial"/>
                <w:color w:val="000000"/>
                <w:sz w:val="20"/>
              </w:rPr>
            </w:pPr>
            <w:r w:rsidRPr="00CD651D">
              <w:rPr>
                <w:rFonts w:cs="Arial"/>
                <w:color w:val="000000"/>
                <w:sz w:val="20"/>
              </w:rPr>
              <w:t>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2D280B5" w14:textId="77777777" w:rsidR="004E12B7" w:rsidRPr="00CD651D" w:rsidRDefault="00CE562C" w:rsidP="004E12B7">
            <w:pPr>
              <w:spacing w:before="100" w:beforeAutospacing="1" w:after="100" w:afterAutospacing="1"/>
              <w:jc w:val="center"/>
              <w:rPr>
                <w:rFonts w:cs="Arial"/>
                <w:color w:val="000000"/>
                <w:sz w:val="20"/>
              </w:rPr>
            </w:pPr>
            <w:r w:rsidRPr="00CD651D">
              <w:rPr>
                <w:rFonts w:cs="Arial"/>
                <w:color w:val="000000"/>
                <w:sz w:val="20"/>
              </w:rPr>
              <w:t>3.20</w:t>
            </w:r>
          </w:p>
        </w:tc>
      </w:tr>
      <w:tr w:rsidR="00207C08" w14:paraId="630680D7" w14:textId="77777777" w:rsidTr="004E12B7">
        <w:trPr>
          <w:trHeight w:val="181"/>
        </w:trPr>
        <w:tc>
          <w:tcPr>
            <w:tcW w:w="595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E18B3" w14:textId="77777777" w:rsidR="004E12B7" w:rsidRPr="00CD651D" w:rsidRDefault="00CE562C" w:rsidP="004E12B7">
            <w:pPr>
              <w:spacing w:before="100" w:beforeAutospacing="1" w:after="100" w:afterAutospacing="1"/>
              <w:jc w:val="both"/>
              <w:rPr>
                <w:rFonts w:cs="Arial"/>
                <w:color w:val="000000"/>
                <w:sz w:val="20"/>
              </w:rPr>
            </w:pPr>
            <w:r w:rsidRPr="00CD651D">
              <w:rPr>
                <w:rFonts w:cs="Arial"/>
                <w:color w:val="000000"/>
                <w:sz w:val="20"/>
              </w:rPr>
              <w:t>1 year impact of a 1% rise</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65368" w14:textId="77777777" w:rsidR="004E12B7" w:rsidRPr="00CD651D" w:rsidRDefault="00CE562C" w:rsidP="004E12B7">
            <w:pPr>
              <w:spacing w:before="100" w:beforeAutospacing="1" w:after="100" w:afterAutospacing="1"/>
              <w:jc w:val="center"/>
              <w:rPr>
                <w:rFonts w:cs="Arial"/>
                <w:color w:val="000000"/>
                <w:sz w:val="20"/>
              </w:rPr>
            </w:pPr>
            <w:r w:rsidRPr="00CD651D">
              <w:rPr>
                <w:rFonts w:cs="Arial"/>
                <w:color w:val="000000"/>
                <w:sz w:val="2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AB3F4" w14:textId="77777777" w:rsidR="004E12B7" w:rsidRPr="00CD651D" w:rsidRDefault="00CE562C" w:rsidP="004E12B7">
            <w:pPr>
              <w:spacing w:before="100" w:beforeAutospacing="1" w:after="100" w:afterAutospacing="1"/>
              <w:jc w:val="center"/>
              <w:rPr>
                <w:rFonts w:cs="Arial"/>
                <w:color w:val="000000"/>
                <w:sz w:val="20"/>
              </w:rPr>
            </w:pPr>
            <w:r w:rsidRPr="00CD651D">
              <w:rPr>
                <w:rFonts w:cs="Arial"/>
                <w:color w:val="000000"/>
                <w:sz w:val="20"/>
              </w:rPr>
              <w:t>2.90</w:t>
            </w:r>
          </w:p>
        </w:tc>
      </w:tr>
      <w:tr w:rsidR="00207C08" w14:paraId="1C2CECEC" w14:textId="77777777" w:rsidTr="00F20AE2">
        <w:trPr>
          <w:trHeight w:val="316"/>
        </w:trPr>
        <w:tc>
          <w:tcPr>
            <w:tcW w:w="4678" w:type="dxa"/>
            <w:gridSpan w:val="2"/>
            <w:tcBorders>
              <w:top w:val="single" w:sz="4" w:space="0" w:color="auto"/>
              <w:bottom w:val="single" w:sz="4" w:space="0" w:color="auto"/>
            </w:tcBorders>
            <w:shd w:val="clear" w:color="auto" w:fill="auto"/>
            <w:noWrap/>
            <w:vAlign w:val="center"/>
          </w:tcPr>
          <w:p w14:paraId="0B8992D9" w14:textId="77777777" w:rsidR="004E12B7" w:rsidRDefault="009B446A" w:rsidP="004E12B7">
            <w:pPr>
              <w:jc w:val="both"/>
              <w:rPr>
                <w:rFonts w:cs="Arial"/>
                <w:b/>
                <w:bCs/>
                <w:color w:val="000000"/>
                <w:sz w:val="20"/>
              </w:rPr>
            </w:pPr>
          </w:p>
          <w:p w14:paraId="37D34109" w14:textId="77777777" w:rsidR="00F20AE2" w:rsidRPr="00CD651D" w:rsidRDefault="009B446A" w:rsidP="004E12B7">
            <w:pPr>
              <w:jc w:val="both"/>
              <w:rPr>
                <w:rFonts w:cs="Arial"/>
                <w:b/>
                <w:bCs/>
                <w:color w:val="000000"/>
                <w:sz w:val="20"/>
              </w:rPr>
            </w:pPr>
          </w:p>
        </w:tc>
        <w:tc>
          <w:tcPr>
            <w:tcW w:w="1276" w:type="dxa"/>
            <w:gridSpan w:val="2"/>
            <w:tcBorders>
              <w:top w:val="single" w:sz="4" w:space="0" w:color="auto"/>
              <w:bottom w:val="single" w:sz="4" w:space="0" w:color="auto"/>
            </w:tcBorders>
            <w:shd w:val="clear" w:color="auto" w:fill="auto"/>
            <w:noWrap/>
            <w:vAlign w:val="center"/>
          </w:tcPr>
          <w:p w14:paraId="3E72C492" w14:textId="77777777" w:rsidR="004E12B7" w:rsidRPr="00CD651D" w:rsidRDefault="009B446A" w:rsidP="004E12B7">
            <w:pPr>
              <w:rPr>
                <w:rFonts w:cs="Arial"/>
                <w:b/>
                <w:bCs/>
                <w:color w:val="000000"/>
                <w:sz w:val="20"/>
              </w:rPr>
            </w:pPr>
          </w:p>
        </w:tc>
        <w:tc>
          <w:tcPr>
            <w:tcW w:w="1417" w:type="dxa"/>
            <w:tcBorders>
              <w:top w:val="single" w:sz="4" w:space="0" w:color="auto"/>
              <w:bottom w:val="single" w:sz="4" w:space="0" w:color="auto"/>
            </w:tcBorders>
            <w:shd w:val="clear" w:color="auto" w:fill="auto"/>
            <w:noWrap/>
            <w:vAlign w:val="center"/>
          </w:tcPr>
          <w:p w14:paraId="53EBE7C2" w14:textId="77777777" w:rsidR="004E12B7" w:rsidRPr="00CD651D" w:rsidRDefault="009B446A" w:rsidP="004E12B7">
            <w:pPr>
              <w:rPr>
                <w:rFonts w:cs="Arial"/>
                <w:b/>
                <w:bCs/>
                <w:color w:val="000000"/>
                <w:sz w:val="20"/>
              </w:rPr>
            </w:pPr>
          </w:p>
        </w:tc>
        <w:tc>
          <w:tcPr>
            <w:tcW w:w="1276" w:type="dxa"/>
            <w:tcBorders>
              <w:top w:val="single" w:sz="4" w:space="0" w:color="auto"/>
              <w:bottom w:val="single" w:sz="4" w:space="0" w:color="auto"/>
            </w:tcBorders>
            <w:shd w:val="clear" w:color="auto" w:fill="auto"/>
            <w:noWrap/>
            <w:vAlign w:val="center"/>
          </w:tcPr>
          <w:p w14:paraId="1C26EBB3" w14:textId="77777777" w:rsidR="004E12B7" w:rsidRPr="00CD651D" w:rsidRDefault="009B446A" w:rsidP="004E12B7">
            <w:pPr>
              <w:jc w:val="center"/>
              <w:rPr>
                <w:rFonts w:cs="Arial"/>
                <w:b/>
                <w:bCs/>
                <w:color w:val="000000"/>
                <w:sz w:val="20"/>
              </w:rPr>
            </w:pPr>
          </w:p>
        </w:tc>
      </w:tr>
      <w:tr w:rsidR="00207C08" w14:paraId="57CC4784" w14:textId="77777777" w:rsidTr="00F20AE2">
        <w:trPr>
          <w:trHeight w:val="232"/>
        </w:trPr>
        <w:tc>
          <w:tcPr>
            <w:tcW w:w="4678" w:type="dxa"/>
            <w:gridSpan w:val="2"/>
            <w:tcBorders>
              <w:top w:val="single" w:sz="4" w:space="0" w:color="auto"/>
              <w:left w:val="single" w:sz="4" w:space="0" w:color="auto"/>
              <w:bottom w:val="single" w:sz="4" w:space="0" w:color="auto"/>
            </w:tcBorders>
            <w:shd w:val="clear" w:color="auto" w:fill="auto"/>
            <w:noWrap/>
            <w:vAlign w:val="center"/>
            <w:hideMark/>
          </w:tcPr>
          <w:p w14:paraId="0289EABC" w14:textId="77777777" w:rsidR="004E12B7" w:rsidRDefault="00CE562C" w:rsidP="004E12B7">
            <w:pPr>
              <w:jc w:val="both"/>
              <w:rPr>
                <w:rFonts w:cs="Arial"/>
                <w:b/>
                <w:bCs/>
                <w:color w:val="000000"/>
                <w:sz w:val="20"/>
              </w:rPr>
            </w:pPr>
            <w:r w:rsidRPr="00CD651D">
              <w:rPr>
                <w:rFonts w:cs="Arial"/>
                <w:b/>
                <w:bCs/>
                <w:color w:val="000000"/>
                <w:sz w:val="20"/>
              </w:rPr>
              <w:t>Maturity structure of debt</w:t>
            </w:r>
          </w:p>
          <w:p w14:paraId="7FFEEF55" w14:textId="77777777" w:rsidR="004E12B7" w:rsidRPr="00CD651D" w:rsidRDefault="00CE562C" w:rsidP="004E12B7">
            <w:pPr>
              <w:jc w:val="both"/>
              <w:rPr>
                <w:rFonts w:cs="Arial"/>
                <w:b/>
                <w:bCs/>
                <w:color w:val="000000"/>
                <w:sz w:val="20"/>
              </w:rPr>
            </w:pPr>
            <w:r w:rsidRPr="00CD651D">
              <w:rPr>
                <w:rFonts w:cs="Arial"/>
                <w:color w:val="000000"/>
                <w:sz w:val="20"/>
              </w:rPr>
              <w:t>The limit on the maturity structure of debt helps control refinancing risk</w:t>
            </w:r>
          </w:p>
        </w:tc>
        <w:tc>
          <w:tcPr>
            <w:tcW w:w="1276" w:type="dxa"/>
            <w:gridSpan w:val="2"/>
            <w:tcBorders>
              <w:top w:val="single" w:sz="4" w:space="0" w:color="auto"/>
              <w:bottom w:val="single" w:sz="4" w:space="0" w:color="auto"/>
              <w:right w:val="single" w:sz="4" w:space="0" w:color="auto"/>
            </w:tcBorders>
            <w:shd w:val="clear" w:color="auto" w:fill="auto"/>
            <w:noWrap/>
            <w:vAlign w:val="center"/>
          </w:tcPr>
          <w:p w14:paraId="72308331" w14:textId="77777777" w:rsidR="004E12B7" w:rsidRPr="00CD651D" w:rsidRDefault="009B446A" w:rsidP="004E12B7">
            <w:pPr>
              <w:jc w:val="center"/>
              <w:rPr>
                <w:rFonts w:cs="Arial"/>
                <w:b/>
                <w:bCs/>
                <w:color w:val="000000"/>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5F48C" w14:textId="77777777" w:rsidR="004E12B7" w:rsidRPr="00CD651D" w:rsidRDefault="00CE562C" w:rsidP="004E12B7">
            <w:pPr>
              <w:jc w:val="center"/>
              <w:rPr>
                <w:rFonts w:cs="Arial"/>
                <w:b/>
                <w:bCs/>
                <w:color w:val="000000"/>
                <w:sz w:val="20"/>
              </w:rPr>
            </w:pPr>
            <w:r w:rsidRPr="00CD651D">
              <w:rPr>
                <w:rFonts w:cs="Arial"/>
                <w:b/>
                <w:bCs/>
                <w:color w:val="000000"/>
                <w:sz w:val="20"/>
              </w:rPr>
              <w:t>Upper Limit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3818B" w14:textId="77777777" w:rsidR="00F20AE2" w:rsidRDefault="00CE562C" w:rsidP="004E12B7">
            <w:pPr>
              <w:jc w:val="center"/>
              <w:rPr>
                <w:rFonts w:cs="Arial"/>
                <w:b/>
                <w:bCs/>
                <w:color w:val="000000"/>
                <w:sz w:val="20"/>
              </w:rPr>
            </w:pPr>
            <w:r w:rsidRPr="00CD651D">
              <w:rPr>
                <w:rFonts w:cs="Arial"/>
                <w:b/>
                <w:bCs/>
                <w:color w:val="000000"/>
                <w:sz w:val="20"/>
              </w:rPr>
              <w:t xml:space="preserve">Actual </w:t>
            </w:r>
          </w:p>
          <w:p w14:paraId="462D6D70" w14:textId="77777777" w:rsidR="004E12B7" w:rsidRPr="00CD651D" w:rsidRDefault="00CE562C" w:rsidP="004E12B7">
            <w:pPr>
              <w:jc w:val="center"/>
              <w:rPr>
                <w:rFonts w:cs="Arial"/>
                <w:b/>
                <w:bCs/>
                <w:color w:val="000000"/>
                <w:sz w:val="20"/>
              </w:rPr>
            </w:pPr>
            <w:r w:rsidRPr="00CD651D">
              <w:rPr>
                <w:rFonts w:cs="Arial"/>
                <w:b/>
                <w:bCs/>
                <w:color w:val="000000"/>
                <w:sz w:val="20"/>
              </w:rPr>
              <w:t>%</w:t>
            </w:r>
          </w:p>
        </w:tc>
      </w:tr>
      <w:tr w:rsidR="00207C08" w14:paraId="1DD20605" w14:textId="77777777" w:rsidTr="00F20AE2">
        <w:trPr>
          <w:trHeight w:val="269"/>
        </w:trPr>
        <w:tc>
          <w:tcPr>
            <w:tcW w:w="4678" w:type="dxa"/>
            <w:gridSpan w:val="2"/>
            <w:tcBorders>
              <w:top w:val="single" w:sz="4" w:space="0" w:color="auto"/>
              <w:left w:val="single" w:sz="4" w:space="0" w:color="auto"/>
              <w:bottom w:val="single" w:sz="4" w:space="0" w:color="auto"/>
            </w:tcBorders>
            <w:shd w:val="clear" w:color="auto" w:fill="auto"/>
            <w:noWrap/>
            <w:vAlign w:val="center"/>
            <w:hideMark/>
          </w:tcPr>
          <w:p w14:paraId="52E06706" w14:textId="77777777" w:rsidR="004E12B7" w:rsidRPr="00CD651D" w:rsidRDefault="00CE562C" w:rsidP="004E12B7">
            <w:pPr>
              <w:jc w:val="both"/>
              <w:rPr>
                <w:rFonts w:cs="Arial"/>
                <w:color w:val="000000"/>
                <w:sz w:val="20"/>
              </w:rPr>
            </w:pPr>
            <w:r w:rsidRPr="00CD651D">
              <w:rPr>
                <w:rFonts w:cs="Arial"/>
                <w:color w:val="000000"/>
                <w:sz w:val="20"/>
              </w:rPr>
              <w:t>Under 12 months</w:t>
            </w:r>
          </w:p>
        </w:tc>
        <w:tc>
          <w:tcPr>
            <w:tcW w:w="1276" w:type="dxa"/>
            <w:gridSpan w:val="2"/>
            <w:tcBorders>
              <w:top w:val="single" w:sz="4" w:space="0" w:color="auto"/>
              <w:bottom w:val="single" w:sz="4" w:space="0" w:color="auto"/>
              <w:right w:val="single" w:sz="4" w:space="0" w:color="auto"/>
            </w:tcBorders>
            <w:shd w:val="clear" w:color="auto" w:fill="auto"/>
            <w:noWrap/>
            <w:vAlign w:val="center"/>
          </w:tcPr>
          <w:p w14:paraId="05DD2361" w14:textId="77777777" w:rsidR="004E12B7" w:rsidRPr="00CD651D" w:rsidRDefault="009B446A" w:rsidP="004E12B7">
            <w:pPr>
              <w:jc w:val="center"/>
              <w:rPr>
                <w:rFonts w:cs="Arial"/>
                <w:color w:val="000000"/>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2FDAF" w14:textId="77777777" w:rsidR="004E12B7" w:rsidRPr="00CD651D" w:rsidRDefault="00CE562C" w:rsidP="004E12B7">
            <w:pPr>
              <w:jc w:val="center"/>
              <w:rPr>
                <w:rFonts w:cs="Arial"/>
                <w:color w:val="000000"/>
                <w:sz w:val="20"/>
              </w:rPr>
            </w:pPr>
            <w:r w:rsidRPr="00CD651D">
              <w:rPr>
                <w:rFonts w:cs="Arial"/>
                <w:color w:val="000000"/>
                <w:sz w:val="20"/>
              </w:rPr>
              <w:t>75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AEAD3F3" w14:textId="77777777" w:rsidR="004E12B7" w:rsidRPr="00CD651D" w:rsidRDefault="00CE562C" w:rsidP="004E12B7">
            <w:pPr>
              <w:jc w:val="center"/>
              <w:rPr>
                <w:rFonts w:cs="Arial"/>
                <w:color w:val="000000"/>
                <w:sz w:val="20"/>
              </w:rPr>
            </w:pPr>
            <w:r w:rsidRPr="00CD651D">
              <w:rPr>
                <w:rFonts w:cs="Arial"/>
                <w:color w:val="000000"/>
                <w:sz w:val="20"/>
              </w:rPr>
              <w:t>0</w:t>
            </w:r>
          </w:p>
        </w:tc>
      </w:tr>
      <w:tr w:rsidR="00207C08" w14:paraId="226A29EE" w14:textId="77777777" w:rsidTr="00F20AE2">
        <w:trPr>
          <w:trHeight w:val="273"/>
        </w:trPr>
        <w:tc>
          <w:tcPr>
            <w:tcW w:w="4678" w:type="dxa"/>
            <w:gridSpan w:val="2"/>
            <w:tcBorders>
              <w:top w:val="single" w:sz="4" w:space="0" w:color="auto"/>
              <w:left w:val="single" w:sz="4" w:space="0" w:color="auto"/>
              <w:bottom w:val="single" w:sz="4" w:space="0" w:color="auto"/>
            </w:tcBorders>
            <w:shd w:val="clear" w:color="auto" w:fill="auto"/>
            <w:noWrap/>
            <w:vAlign w:val="center"/>
            <w:hideMark/>
          </w:tcPr>
          <w:p w14:paraId="1D3DA14B" w14:textId="77777777" w:rsidR="004E12B7" w:rsidRPr="00CD651D" w:rsidRDefault="00CE562C" w:rsidP="004E12B7">
            <w:pPr>
              <w:jc w:val="both"/>
              <w:rPr>
                <w:rFonts w:cs="Arial"/>
                <w:color w:val="000000"/>
                <w:sz w:val="20"/>
              </w:rPr>
            </w:pPr>
            <w:r w:rsidRPr="00CD651D">
              <w:rPr>
                <w:rFonts w:cs="Arial"/>
                <w:color w:val="000000"/>
                <w:sz w:val="20"/>
              </w:rPr>
              <w:t>12 months and within 2 years</w:t>
            </w:r>
          </w:p>
        </w:tc>
        <w:tc>
          <w:tcPr>
            <w:tcW w:w="1276" w:type="dxa"/>
            <w:gridSpan w:val="2"/>
            <w:tcBorders>
              <w:top w:val="single" w:sz="4" w:space="0" w:color="auto"/>
              <w:bottom w:val="single" w:sz="4" w:space="0" w:color="auto"/>
              <w:right w:val="single" w:sz="4" w:space="0" w:color="auto"/>
            </w:tcBorders>
            <w:shd w:val="clear" w:color="auto" w:fill="auto"/>
            <w:noWrap/>
            <w:vAlign w:val="center"/>
          </w:tcPr>
          <w:p w14:paraId="60618BEB" w14:textId="77777777" w:rsidR="004E12B7" w:rsidRPr="00CD651D" w:rsidRDefault="009B446A" w:rsidP="004E12B7">
            <w:pPr>
              <w:jc w:val="center"/>
              <w:rPr>
                <w:rFonts w:cs="Arial"/>
                <w:color w:val="000000"/>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18FC3" w14:textId="77777777" w:rsidR="004E12B7" w:rsidRPr="00CD651D" w:rsidRDefault="00CE562C" w:rsidP="004E12B7">
            <w:pPr>
              <w:jc w:val="center"/>
              <w:rPr>
                <w:rFonts w:cs="Arial"/>
                <w:color w:val="000000"/>
                <w:sz w:val="20"/>
              </w:rPr>
            </w:pPr>
            <w:r w:rsidRPr="00CD651D">
              <w:rPr>
                <w:rFonts w:cs="Arial"/>
                <w:color w:val="000000"/>
                <w:sz w:val="20"/>
              </w:rPr>
              <w:t>75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334FA12" w14:textId="77777777" w:rsidR="004E12B7" w:rsidRPr="00CD651D" w:rsidRDefault="00CE562C" w:rsidP="004E12B7">
            <w:pPr>
              <w:jc w:val="center"/>
              <w:rPr>
                <w:rFonts w:cs="Arial"/>
                <w:color w:val="000000"/>
                <w:sz w:val="20"/>
              </w:rPr>
            </w:pPr>
            <w:r w:rsidRPr="00CD651D">
              <w:rPr>
                <w:rFonts w:cs="Arial"/>
                <w:color w:val="000000"/>
                <w:sz w:val="20"/>
              </w:rPr>
              <w:t>61</w:t>
            </w:r>
          </w:p>
        </w:tc>
      </w:tr>
      <w:tr w:rsidR="00207C08" w14:paraId="1AF7CCB3" w14:textId="77777777" w:rsidTr="00F20AE2">
        <w:trPr>
          <w:trHeight w:val="263"/>
        </w:trPr>
        <w:tc>
          <w:tcPr>
            <w:tcW w:w="4678" w:type="dxa"/>
            <w:gridSpan w:val="2"/>
            <w:tcBorders>
              <w:top w:val="single" w:sz="4" w:space="0" w:color="auto"/>
              <w:left w:val="single" w:sz="4" w:space="0" w:color="auto"/>
              <w:bottom w:val="single" w:sz="4" w:space="0" w:color="auto"/>
            </w:tcBorders>
            <w:shd w:val="clear" w:color="auto" w:fill="auto"/>
            <w:noWrap/>
            <w:vAlign w:val="center"/>
            <w:hideMark/>
          </w:tcPr>
          <w:p w14:paraId="5DD75B70" w14:textId="77777777" w:rsidR="004E12B7" w:rsidRPr="00CD651D" w:rsidRDefault="00CE562C" w:rsidP="004E12B7">
            <w:pPr>
              <w:jc w:val="both"/>
              <w:rPr>
                <w:rFonts w:cs="Arial"/>
                <w:color w:val="000000"/>
                <w:sz w:val="20"/>
              </w:rPr>
            </w:pPr>
            <w:r w:rsidRPr="00CD651D">
              <w:rPr>
                <w:rFonts w:cs="Arial"/>
                <w:color w:val="000000"/>
                <w:sz w:val="20"/>
              </w:rPr>
              <w:t>2 years and within 5 years</w:t>
            </w:r>
          </w:p>
        </w:tc>
        <w:tc>
          <w:tcPr>
            <w:tcW w:w="1276" w:type="dxa"/>
            <w:gridSpan w:val="2"/>
            <w:tcBorders>
              <w:top w:val="single" w:sz="4" w:space="0" w:color="auto"/>
              <w:bottom w:val="single" w:sz="4" w:space="0" w:color="auto"/>
              <w:right w:val="single" w:sz="4" w:space="0" w:color="auto"/>
            </w:tcBorders>
            <w:shd w:val="clear" w:color="auto" w:fill="auto"/>
            <w:noWrap/>
            <w:vAlign w:val="center"/>
          </w:tcPr>
          <w:p w14:paraId="29DBCF93" w14:textId="77777777" w:rsidR="004E12B7" w:rsidRPr="00CD651D" w:rsidRDefault="009B446A" w:rsidP="004E12B7">
            <w:pPr>
              <w:jc w:val="center"/>
              <w:rPr>
                <w:rFonts w:cs="Arial"/>
                <w:color w:val="000000"/>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705DA" w14:textId="77777777" w:rsidR="004E12B7" w:rsidRPr="00CD651D" w:rsidRDefault="00CE562C" w:rsidP="004E12B7">
            <w:pPr>
              <w:jc w:val="center"/>
              <w:rPr>
                <w:rFonts w:cs="Arial"/>
                <w:color w:val="000000"/>
                <w:sz w:val="20"/>
              </w:rPr>
            </w:pPr>
            <w:r w:rsidRPr="00CD651D">
              <w:rPr>
                <w:rFonts w:cs="Arial"/>
                <w:color w:val="000000"/>
                <w:sz w:val="20"/>
              </w:rPr>
              <w:t>75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8687907" w14:textId="77777777" w:rsidR="004E12B7" w:rsidRPr="00CD651D" w:rsidRDefault="00CE562C" w:rsidP="004E12B7">
            <w:pPr>
              <w:jc w:val="center"/>
              <w:rPr>
                <w:rFonts w:cs="Arial"/>
                <w:color w:val="000000"/>
                <w:sz w:val="20"/>
              </w:rPr>
            </w:pPr>
            <w:r w:rsidRPr="00CD651D">
              <w:rPr>
                <w:rFonts w:cs="Arial"/>
                <w:color w:val="000000"/>
                <w:sz w:val="20"/>
              </w:rPr>
              <w:t>12</w:t>
            </w:r>
          </w:p>
        </w:tc>
      </w:tr>
      <w:tr w:rsidR="00207C08" w14:paraId="6A3ECD11" w14:textId="77777777" w:rsidTr="00F20AE2">
        <w:trPr>
          <w:trHeight w:val="281"/>
        </w:trPr>
        <w:tc>
          <w:tcPr>
            <w:tcW w:w="4678" w:type="dxa"/>
            <w:gridSpan w:val="2"/>
            <w:tcBorders>
              <w:top w:val="single" w:sz="4" w:space="0" w:color="auto"/>
              <w:left w:val="single" w:sz="4" w:space="0" w:color="auto"/>
              <w:bottom w:val="single" w:sz="4" w:space="0" w:color="auto"/>
            </w:tcBorders>
            <w:shd w:val="clear" w:color="auto" w:fill="auto"/>
            <w:noWrap/>
            <w:vAlign w:val="center"/>
            <w:hideMark/>
          </w:tcPr>
          <w:p w14:paraId="2F74A99F" w14:textId="77777777" w:rsidR="004E12B7" w:rsidRPr="00CD651D" w:rsidRDefault="00CE562C" w:rsidP="004E12B7">
            <w:pPr>
              <w:jc w:val="both"/>
              <w:rPr>
                <w:rFonts w:cs="Arial"/>
                <w:color w:val="000000"/>
                <w:sz w:val="20"/>
              </w:rPr>
            </w:pPr>
            <w:r w:rsidRPr="00CD651D">
              <w:rPr>
                <w:rFonts w:cs="Arial"/>
                <w:color w:val="000000"/>
                <w:sz w:val="20"/>
              </w:rPr>
              <w:t>5 years and within 10 years</w:t>
            </w:r>
          </w:p>
        </w:tc>
        <w:tc>
          <w:tcPr>
            <w:tcW w:w="1276" w:type="dxa"/>
            <w:gridSpan w:val="2"/>
            <w:tcBorders>
              <w:top w:val="single" w:sz="4" w:space="0" w:color="auto"/>
              <w:bottom w:val="single" w:sz="4" w:space="0" w:color="auto"/>
              <w:right w:val="single" w:sz="4" w:space="0" w:color="auto"/>
            </w:tcBorders>
            <w:shd w:val="clear" w:color="auto" w:fill="auto"/>
            <w:noWrap/>
            <w:vAlign w:val="center"/>
          </w:tcPr>
          <w:p w14:paraId="299C1440" w14:textId="77777777" w:rsidR="004E12B7" w:rsidRPr="00CD651D" w:rsidRDefault="009B446A" w:rsidP="004E12B7">
            <w:pPr>
              <w:jc w:val="center"/>
              <w:rPr>
                <w:rFonts w:cs="Arial"/>
                <w:color w:val="000000"/>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1ACC5" w14:textId="77777777" w:rsidR="004E12B7" w:rsidRPr="00CD651D" w:rsidRDefault="00CE562C" w:rsidP="004E12B7">
            <w:pPr>
              <w:jc w:val="center"/>
              <w:rPr>
                <w:rFonts w:cs="Arial"/>
                <w:color w:val="000000"/>
                <w:sz w:val="20"/>
              </w:rPr>
            </w:pPr>
            <w:r w:rsidRPr="00CD651D">
              <w:rPr>
                <w:rFonts w:cs="Arial"/>
                <w:color w:val="000000"/>
                <w:sz w:val="20"/>
              </w:rPr>
              <w:t>75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80DF363" w14:textId="77777777" w:rsidR="004E12B7" w:rsidRPr="00CD651D" w:rsidRDefault="00CE562C" w:rsidP="004E12B7">
            <w:pPr>
              <w:jc w:val="center"/>
              <w:rPr>
                <w:rFonts w:cs="Arial"/>
                <w:color w:val="000000"/>
                <w:sz w:val="20"/>
              </w:rPr>
            </w:pPr>
            <w:r w:rsidRPr="00CD651D">
              <w:rPr>
                <w:rFonts w:cs="Arial"/>
                <w:color w:val="000000"/>
                <w:sz w:val="20"/>
              </w:rPr>
              <w:t>8</w:t>
            </w:r>
          </w:p>
        </w:tc>
      </w:tr>
      <w:tr w:rsidR="00207C08" w14:paraId="7E6D06B2" w14:textId="77777777" w:rsidTr="00F20AE2">
        <w:trPr>
          <w:trHeight w:val="129"/>
        </w:trPr>
        <w:tc>
          <w:tcPr>
            <w:tcW w:w="4678" w:type="dxa"/>
            <w:gridSpan w:val="2"/>
            <w:tcBorders>
              <w:top w:val="single" w:sz="4" w:space="0" w:color="auto"/>
              <w:left w:val="single" w:sz="4" w:space="0" w:color="auto"/>
              <w:bottom w:val="single" w:sz="4" w:space="0" w:color="auto"/>
            </w:tcBorders>
            <w:shd w:val="clear" w:color="auto" w:fill="auto"/>
            <w:noWrap/>
            <w:vAlign w:val="center"/>
            <w:hideMark/>
          </w:tcPr>
          <w:p w14:paraId="064DF68C" w14:textId="77777777" w:rsidR="004E12B7" w:rsidRPr="00CD651D" w:rsidRDefault="00CE562C" w:rsidP="004E12B7">
            <w:pPr>
              <w:jc w:val="both"/>
              <w:rPr>
                <w:rFonts w:cs="Arial"/>
                <w:color w:val="000000"/>
                <w:sz w:val="20"/>
              </w:rPr>
            </w:pPr>
            <w:r w:rsidRPr="00CD651D">
              <w:rPr>
                <w:rFonts w:cs="Arial"/>
                <w:color w:val="000000"/>
                <w:sz w:val="20"/>
              </w:rPr>
              <w:t>10 years and above</w:t>
            </w:r>
          </w:p>
        </w:tc>
        <w:tc>
          <w:tcPr>
            <w:tcW w:w="1276" w:type="dxa"/>
            <w:gridSpan w:val="2"/>
            <w:tcBorders>
              <w:top w:val="single" w:sz="4" w:space="0" w:color="auto"/>
              <w:bottom w:val="single" w:sz="4" w:space="0" w:color="auto"/>
              <w:right w:val="single" w:sz="4" w:space="0" w:color="auto"/>
            </w:tcBorders>
            <w:shd w:val="clear" w:color="auto" w:fill="auto"/>
            <w:noWrap/>
            <w:vAlign w:val="center"/>
          </w:tcPr>
          <w:p w14:paraId="77F80583" w14:textId="77777777" w:rsidR="004E12B7" w:rsidRPr="00CD651D" w:rsidRDefault="009B446A" w:rsidP="004E12B7">
            <w:pPr>
              <w:jc w:val="center"/>
              <w:rPr>
                <w:rFonts w:cs="Arial"/>
                <w:color w:val="000000"/>
                <w:sz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87CB0" w14:textId="77777777" w:rsidR="004E12B7" w:rsidRPr="00CD651D" w:rsidRDefault="00CE562C" w:rsidP="004E12B7">
            <w:pPr>
              <w:jc w:val="center"/>
              <w:rPr>
                <w:rFonts w:cs="Arial"/>
                <w:color w:val="000000"/>
                <w:sz w:val="20"/>
              </w:rPr>
            </w:pPr>
            <w:r w:rsidRPr="00CD651D">
              <w:rPr>
                <w:rFonts w:cs="Arial"/>
                <w:color w:val="000000"/>
                <w:sz w:val="20"/>
              </w:rPr>
              <w:t>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7D4166C" w14:textId="77777777" w:rsidR="004E12B7" w:rsidRPr="00CD651D" w:rsidRDefault="00CE562C" w:rsidP="004E12B7">
            <w:pPr>
              <w:jc w:val="center"/>
              <w:rPr>
                <w:rFonts w:cs="Arial"/>
                <w:color w:val="000000"/>
                <w:sz w:val="20"/>
              </w:rPr>
            </w:pPr>
            <w:r w:rsidRPr="00CD651D">
              <w:rPr>
                <w:rFonts w:cs="Arial"/>
                <w:color w:val="000000"/>
                <w:sz w:val="20"/>
              </w:rPr>
              <w:t>20</w:t>
            </w:r>
          </w:p>
        </w:tc>
      </w:tr>
      <w:tr w:rsidR="00207C08" w14:paraId="2E217EED" w14:textId="77777777" w:rsidTr="004E12B7">
        <w:trPr>
          <w:trHeight w:val="301"/>
        </w:trPr>
        <w:tc>
          <w:tcPr>
            <w:tcW w:w="4034" w:type="dxa"/>
            <w:tcBorders>
              <w:top w:val="nil"/>
              <w:left w:val="nil"/>
              <w:bottom w:val="nil"/>
              <w:right w:val="nil"/>
            </w:tcBorders>
            <w:shd w:val="clear" w:color="auto" w:fill="auto"/>
            <w:noWrap/>
            <w:vAlign w:val="center"/>
            <w:hideMark/>
          </w:tcPr>
          <w:p w14:paraId="37A6E1B0" w14:textId="77777777" w:rsidR="004E12B7" w:rsidRPr="00B06B0C" w:rsidRDefault="009B446A" w:rsidP="004E12B7">
            <w:pPr>
              <w:jc w:val="both"/>
              <w:rPr>
                <w:rFonts w:cs="Arial"/>
                <w:color w:val="000000"/>
                <w:szCs w:val="24"/>
                <w:highlight w:val="yellow"/>
              </w:rPr>
            </w:pPr>
          </w:p>
        </w:tc>
        <w:tc>
          <w:tcPr>
            <w:tcW w:w="1920" w:type="dxa"/>
            <w:gridSpan w:val="3"/>
            <w:tcBorders>
              <w:top w:val="nil"/>
              <w:left w:val="nil"/>
              <w:bottom w:val="nil"/>
              <w:right w:val="nil"/>
            </w:tcBorders>
            <w:shd w:val="clear" w:color="auto" w:fill="auto"/>
            <w:noWrap/>
            <w:vAlign w:val="center"/>
            <w:hideMark/>
          </w:tcPr>
          <w:p w14:paraId="182CDCB4" w14:textId="77777777" w:rsidR="004E12B7" w:rsidRPr="00B06B0C" w:rsidRDefault="009B446A" w:rsidP="004E12B7">
            <w:pPr>
              <w:jc w:val="both"/>
              <w:rPr>
                <w:rFonts w:ascii="Times New Roman" w:hAnsi="Times New Roman"/>
                <w:sz w:val="20"/>
                <w:highlight w:val="yellow"/>
              </w:rPr>
            </w:pPr>
          </w:p>
        </w:tc>
        <w:tc>
          <w:tcPr>
            <w:tcW w:w="1417" w:type="dxa"/>
            <w:tcBorders>
              <w:top w:val="nil"/>
              <w:left w:val="nil"/>
              <w:bottom w:val="nil"/>
              <w:right w:val="nil"/>
            </w:tcBorders>
            <w:shd w:val="clear" w:color="auto" w:fill="auto"/>
            <w:noWrap/>
            <w:vAlign w:val="center"/>
            <w:hideMark/>
          </w:tcPr>
          <w:p w14:paraId="0C1BAEF9" w14:textId="77777777" w:rsidR="004E12B7" w:rsidRPr="00B06B0C" w:rsidRDefault="009B446A" w:rsidP="004E12B7">
            <w:pPr>
              <w:jc w:val="both"/>
              <w:rPr>
                <w:rFonts w:ascii="Times New Roman" w:hAnsi="Times New Roman"/>
                <w:sz w:val="20"/>
                <w:highlight w:val="yellow"/>
              </w:rPr>
            </w:pPr>
          </w:p>
        </w:tc>
        <w:tc>
          <w:tcPr>
            <w:tcW w:w="1276" w:type="dxa"/>
            <w:tcBorders>
              <w:top w:val="nil"/>
              <w:left w:val="nil"/>
              <w:bottom w:val="nil"/>
              <w:right w:val="nil"/>
            </w:tcBorders>
            <w:shd w:val="clear" w:color="auto" w:fill="auto"/>
            <w:noWrap/>
            <w:vAlign w:val="center"/>
            <w:hideMark/>
          </w:tcPr>
          <w:p w14:paraId="1D14482C" w14:textId="77777777" w:rsidR="004E12B7" w:rsidRPr="00B06B0C" w:rsidRDefault="009B446A" w:rsidP="004E12B7">
            <w:pPr>
              <w:jc w:val="both"/>
              <w:rPr>
                <w:rFonts w:ascii="Times New Roman" w:hAnsi="Times New Roman"/>
                <w:sz w:val="20"/>
                <w:highlight w:val="yellow"/>
              </w:rPr>
            </w:pPr>
          </w:p>
        </w:tc>
      </w:tr>
      <w:tr w:rsidR="00207C08" w14:paraId="6E9C0679" w14:textId="77777777" w:rsidTr="004E12B7">
        <w:trPr>
          <w:trHeight w:val="316"/>
        </w:trPr>
        <w:tc>
          <w:tcPr>
            <w:tcW w:w="5954" w:type="dxa"/>
            <w:gridSpan w:val="4"/>
            <w:tcBorders>
              <w:top w:val="single" w:sz="4" w:space="0" w:color="auto"/>
              <w:left w:val="single" w:sz="4" w:space="0" w:color="auto"/>
              <w:bottom w:val="nil"/>
              <w:right w:val="single" w:sz="4" w:space="0" w:color="auto"/>
            </w:tcBorders>
            <w:shd w:val="clear" w:color="auto" w:fill="auto"/>
            <w:noWrap/>
            <w:vAlign w:val="center"/>
            <w:hideMark/>
          </w:tcPr>
          <w:p w14:paraId="560F13C0" w14:textId="77777777" w:rsidR="004E12B7" w:rsidRPr="00CD651D" w:rsidRDefault="00CE562C" w:rsidP="004E12B7">
            <w:pPr>
              <w:jc w:val="both"/>
              <w:rPr>
                <w:rFonts w:cs="Arial"/>
                <w:b/>
                <w:bCs/>
                <w:color w:val="000000"/>
                <w:sz w:val="20"/>
              </w:rPr>
            </w:pPr>
            <w:r w:rsidRPr="00CD651D">
              <w:rPr>
                <w:rFonts w:cs="Arial"/>
                <w:b/>
                <w:bCs/>
                <w:color w:val="000000"/>
                <w:sz w:val="20"/>
              </w:rPr>
              <w:t>Investments over 364 days</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59BCC" w14:textId="77777777" w:rsidR="004E12B7" w:rsidRDefault="00CE562C" w:rsidP="004E12B7">
            <w:pPr>
              <w:jc w:val="center"/>
              <w:rPr>
                <w:rFonts w:cs="Arial"/>
                <w:b/>
                <w:bCs/>
                <w:color w:val="000000"/>
                <w:sz w:val="20"/>
              </w:rPr>
            </w:pPr>
            <w:r w:rsidRPr="00CD651D">
              <w:rPr>
                <w:rFonts w:cs="Arial"/>
                <w:b/>
                <w:bCs/>
                <w:color w:val="000000"/>
                <w:sz w:val="20"/>
              </w:rPr>
              <w:t>Upper Limit</w:t>
            </w:r>
          </w:p>
          <w:p w14:paraId="09E69BEF" w14:textId="77777777" w:rsidR="004E12B7" w:rsidRPr="00CD651D" w:rsidRDefault="00CE562C" w:rsidP="004E12B7">
            <w:pPr>
              <w:jc w:val="center"/>
              <w:rPr>
                <w:rFonts w:cs="Arial"/>
                <w:b/>
                <w:bCs/>
                <w:color w:val="000000"/>
                <w:sz w:val="20"/>
              </w:rPr>
            </w:pPr>
            <w:r w:rsidRPr="00CD651D">
              <w:rPr>
                <w:rFonts w:cs="Arial"/>
                <w:b/>
                <w:bCs/>
                <w:color w:val="000000"/>
                <w:sz w:val="20"/>
              </w:rPr>
              <w:t>£m</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8C37D" w14:textId="77777777" w:rsidR="004E12B7" w:rsidRDefault="00CE562C" w:rsidP="004E12B7">
            <w:pPr>
              <w:jc w:val="center"/>
              <w:rPr>
                <w:rFonts w:cs="Arial"/>
                <w:b/>
                <w:bCs/>
                <w:color w:val="000000"/>
                <w:sz w:val="20"/>
              </w:rPr>
            </w:pPr>
            <w:r w:rsidRPr="00CD651D">
              <w:rPr>
                <w:rFonts w:cs="Arial"/>
                <w:b/>
                <w:bCs/>
                <w:color w:val="000000"/>
                <w:sz w:val="20"/>
              </w:rPr>
              <w:t>Actual</w:t>
            </w:r>
          </w:p>
          <w:p w14:paraId="58707DEE" w14:textId="77777777" w:rsidR="004E12B7" w:rsidRPr="00CD651D" w:rsidRDefault="00CE562C" w:rsidP="004E12B7">
            <w:pPr>
              <w:jc w:val="center"/>
              <w:rPr>
                <w:rFonts w:cs="Arial"/>
                <w:b/>
                <w:bCs/>
                <w:color w:val="000000"/>
                <w:sz w:val="20"/>
              </w:rPr>
            </w:pPr>
            <w:r w:rsidRPr="00CD651D">
              <w:rPr>
                <w:rFonts w:cs="Arial"/>
                <w:b/>
                <w:bCs/>
                <w:color w:val="000000"/>
                <w:sz w:val="20"/>
              </w:rPr>
              <w:t>£m</w:t>
            </w:r>
          </w:p>
        </w:tc>
      </w:tr>
      <w:tr w:rsidR="00207C08" w14:paraId="41E56532" w14:textId="77777777" w:rsidTr="004E12B7">
        <w:trPr>
          <w:trHeight w:val="558"/>
        </w:trPr>
        <w:tc>
          <w:tcPr>
            <w:tcW w:w="5954" w:type="dxa"/>
            <w:gridSpan w:val="4"/>
            <w:tcBorders>
              <w:top w:val="nil"/>
              <w:left w:val="single" w:sz="4" w:space="0" w:color="auto"/>
              <w:bottom w:val="single" w:sz="4" w:space="0" w:color="auto"/>
              <w:right w:val="single" w:sz="4" w:space="0" w:color="auto"/>
            </w:tcBorders>
            <w:shd w:val="clear" w:color="auto" w:fill="auto"/>
            <w:vAlign w:val="center"/>
            <w:hideMark/>
          </w:tcPr>
          <w:p w14:paraId="72B14930" w14:textId="2B2BD42C" w:rsidR="004E12B7" w:rsidRPr="00CD651D" w:rsidRDefault="00CE562C" w:rsidP="004E12B7">
            <w:pPr>
              <w:jc w:val="both"/>
              <w:rPr>
                <w:rFonts w:cs="Arial"/>
                <w:color w:val="000000"/>
                <w:sz w:val="20"/>
              </w:rPr>
            </w:pPr>
            <w:r w:rsidRPr="00CD651D">
              <w:rPr>
                <w:rFonts w:cs="Arial"/>
                <w:color w:val="000000"/>
                <w:sz w:val="20"/>
              </w:rPr>
              <w:t xml:space="preserve">The limit on the level of long term investments helps to </w:t>
            </w:r>
            <w:r w:rsidR="00925760">
              <w:rPr>
                <w:rFonts w:cs="Arial"/>
                <w:color w:val="000000"/>
                <w:sz w:val="20"/>
              </w:rPr>
              <w:t>manage</w:t>
            </w:r>
            <w:r w:rsidRPr="00CD651D">
              <w:rPr>
                <w:rFonts w:cs="Arial"/>
                <w:color w:val="000000"/>
                <w:sz w:val="20"/>
              </w:rPr>
              <w:t xml:space="preserve"> liquidity, although the majority of these investments are</w:t>
            </w:r>
            <w:r w:rsidR="00925760">
              <w:rPr>
                <w:rFonts w:cs="Arial"/>
                <w:color w:val="000000"/>
                <w:sz w:val="20"/>
              </w:rPr>
              <w:t xml:space="preserve"> currently</w:t>
            </w:r>
            <w:r w:rsidRPr="00CD651D">
              <w:rPr>
                <w:rFonts w:cs="Arial"/>
                <w:color w:val="000000"/>
                <w:sz w:val="20"/>
              </w:rPr>
              <w:t xml:space="preserve"> held in available for sale securities</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651B2BF" w14:textId="77777777" w:rsidR="004E12B7" w:rsidRPr="00CD651D" w:rsidRDefault="009B446A" w:rsidP="004E12B7">
            <w:pPr>
              <w:jc w:val="center"/>
              <w:rPr>
                <w:rFonts w:cs="Arial"/>
                <w:b/>
                <w:bCs/>
                <w:color w:val="000000"/>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7430A0C" w14:textId="77777777" w:rsidR="004E12B7" w:rsidRPr="00CD651D" w:rsidRDefault="009B446A" w:rsidP="004E12B7">
            <w:pPr>
              <w:jc w:val="center"/>
              <w:rPr>
                <w:rFonts w:cs="Arial"/>
                <w:b/>
                <w:bCs/>
                <w:color w:val="000000"/>
                <w:sz w:val="20"/>
              </w:rPr>
            </w:pPr>
          </w:p>
        </w:tc>
      </w:tr>
      <w:tr w:rsidR="00207C08" w14:paraId="19965923" w14:textId="77777777" w:rsidTr="004E12B7">
        <w:trPr>
          <w:trHeight w:val="199"/>
        </w:trPr>
        <w:tc>
          <w:tcPr>
            <w:tcW w:w="595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80C27" w14:textId="77777777" w:rsidR="004E12B7" w:rsidRPr="00CD651D" w:rsidRDefault="00CE562C" w:rsidP="004E12B7">
            <w:pPr>
              <w:spacing w:before="100" w:beforeAutospacing="1" w:after="100" w:afterAutospacing="1"/>
              <w:jc w:val="both"/>
              <w:rPr>
                <w:rFonts w:cs="Arial"/>
                <w:color w:val="000000"/>
                <w:sz w:val="20"/>
              </w:rPr>
            </w:pPr>
            <w:r w:rsidRPr="00CD651D">
              <w:rPr>
                <w:rFonts w:cs="Arial"/>
                <w:color w:val="000000"/>
                <w:sz w:val="20"/>
              </w:rPr>
              <w:t>Total invested over 364 days</w:t>
            </w:r>
          </w:p>
        </w:tc>
        <w:tc>
          <w:tcPr>
            <w:tcW w:w="1417" w:type="dxa"/>
            <w:tcBorders>
              <w:top w:val="nil"/>
              <w:left w:val="nil"/>
              <w:bottom w:val="single" w:sz="4" w:space="0" w:color="auto"/>
              <w:right w:val="single" w:sz="4" w:space="0" w:color="auto"/>
            </w:tcBorders>
            <w:shd w:val="clear" w:color="auto" w:fill="auto"/>
            <w:noWrap/>
            <w:vAlign w:val="center"/>
            <w:hideMark/>
          </w:tcPr>
          <w:p w14:paraId="6AA6F79A" w14:textId="77777777" w:rsidR="004E12B7" w:rsidRPr="00CD651D" w:rsidRDefault="00CE562C" w:rsidP="004E12B7">
            <w:pPr>
              <w:spacing w:before="100" w:beforeAutospacing="1" w:after="100" w:afterAutospacing="1"/>
              <w:jc w:val="center"/>
              <w:rPr>
                <w:rFonts w:cs="Arial"/>
                <w:color w:val="000000"/>
                <w:sz w:val="20"/>
              </w:rPr>
            </w:pPr>
            <w:r w:rsidRPr="00CD651D">
              <w:rPr>
                <w:rFonts w:cs="Arial"/>
                <w:color w:val="000000"/>
                <w:sz w:val="20"/>
              </w:rPr>
              <w:t>450</w:t>
            </w:r>
          </w:p>
        </w:tc>
        <w:tc>
          <w:tcPr>
            <w:tcW w:w="1276" w:type="dxa"/>
            <w:tcBorders>
              <w:top w:val="nil"/>
              <w:left w:val="nil"/>
              <w:bottom w:val="single" w:sz="4" w:space="0" w:color="auto"/>
              <w:right w:val="single" w:sz="4" w:space="0" w:color="auto"/>
            </w:tcBorders>
            <w:shd w:val="clear" w:color="auto" w:fill="auto"/>
            <w:noWrap/>
            <w:vAlign w:val="center"/>
            <w:hideMark/>
          </w:tcPr>
          <w:p w14:paraId="2275BB12" w14:textId="77777777" w:rsidR="004E12B7" w:rsidRPr="00CD651D" w:rsidRDefault="00CE562C" w:rsidP="004E12B7">
            <w:pPr>
              <w:spacing w:before="100" w:beforeAutospacing="1" w:after="100" w:afterAutospacing="1"/>
              <w:jc w:val="center"/>
              <w:rPr>
                <w:rFonts w:cs="Arial"/>
                <w:color w:val="000000"/>
                <w:sz w:val="20"/>
              </w:rPr>
            </w:pPr>
            <w:r w:rsidRPr="00CD651D">
              <w:rPr>
                <w:rFonts w:cs="Arial"/>
                <w:color w:val="000000"/>
                <w:sz w:val="20"/>
              </w:rPr>
              <w:t>208</w:t>
            </w:r>
          </w:p>
        </w:tc>
      </w:tr>
      <w:tr w:rsidR="00207C08" w14:paraId="4EA7F990" w14:textId="77777777" w:rsidTr="004E12B7">
        <w:trPr>
          <w:trHeight w:val="300"/>
        </w:trPr>
        <w:tc>
          <w:tcPr>
            <w:tcW w:w="5268" w:type="dxa"/>
            <w:gridSpan w:val="3"/>
            <w:tcBorders>
              <w:top w:val="nil"/>
              <w:left w:val="nil"/>
              <w:bottom w:val="nil"/>
              <w:right w:val="nil"/>
            </w:tcBorders>
            <w:shd w:val="clear" w:color="auto" w:fill="auto"/>
            <w:vAlign w:val="center"/>
            <w:hideMark/>
          </w:tcPr>
          <w:p w14:paraId="37E66503" w14:textId="77777777" w:rsidR="004E12B7" w:rsidRPr="00B06B0C" w:rsidRDefault="009B446A" w:rsidP="004E12B7">
            <w:pPr>
              <w:jc w:val="both"/>
              <w:rPr>
                <w:rFonts w:ascii="Times New Roman" w:hAnsi="Times New Roman"/>
                <w:sz w:val="20"/>
                <w:highlight w:val="yellow"/>
              </w:rPr>
            </w:pPr>
          </w:p>
        </w:tc>
        <w:tc>
          <w:tcPr>
            <w:tcW w:w="686" w:type="dxa"/>
            <w:tcBorders>
              <w:top w:val="nil"/>
              <w:left w:val="nil"/>
              <w:bottom w:val="nil"/>
              <w:right w:val="nil"/>
            </w:tcBorders>
            <w:shd w:val="clear" w:color="auto" w:fill="auto"/>
            <w:noWrap/>
            <w:vAlign w:val="bottom"/>
            <w:hideMark/>
          </w:tcPr>
          <w:p w14:paraId="1CBE0101" w14:textId="77777777" w:rsidR="004E12B7" w:rsidRPr="00B06B0C" w:rsidRDefault="009B446A" w:rsidP="004E12B7">
            <w:pPr>
              <w:jc w:val="both"/>
              <w:rPr>
                <w:rFonts w:ascii="Times New Roman" w:hAnsi="Times New Roman"/>
                <w:sz w:val="20"/>
                <w:highlight w:val="yellow"/>
              </w:rPr>
            </w:pPr>
          </w:p>
        </w:tc>
        <w:tc>
          <w:tcPr>
            <w:tcW w:w="1417" w:type="dxa"/>
            <w:tcBorders>
              <w:top w:val="nil"/>
              <w:left w:val="nil"/>
              <w:bottom w:val="nil"/>
              <w:right w:val="nil"/>
            </w:tcBorders>
            <w:shd w:val="clear" w:color="auto" w:fill="auto"/>
            <w:noWrap/>
            <w:vAlign w:val="bottom"/>
            <w:hideMark/>
          </w:tcPr>
          <w:p w14:paraId="40393FD5" w14:textId="77777777" w:rsidR="004E12B7" w:rsidRPr="00B06B0C" w:rsidRDefault="009B446A" w:rsidP="004E12B7">
            <w:pPr>
              <w:jc w:val="both"/>
              <w:rPr>
                <w:rFonts w:ascii="Times New Roman" w:hAnsi="Times New Roman"/>
                <w:sz w:val="20"/>
                <w:highlight w:val="yellow"/>
              </w:rPr>
            </w:pPr>
          </w:p>
        </w:tc>
        <w:tc>
          <w:tcPr>
            <w:tcW w:w="1276" w:type="dxa"/>
            <w:tcBorders>
              <w:top w:val="nil"/>
              <w:left w:val="nil"/>
              <w:bottom w:val="nil"/>
              <w:right w:val="nil"/>
            </w:tcBorders>
            <w:shd w:val="clear" w:color="auto" w:fill="auto"/>
            <w:noWrap/>
            <w:vAlign w:val="bottom"/>
            <w:hideMark/>
          </w:tcPr>
          <w:p w14:paraId="6F529841" w14:textId="77777777" w:rsidR="004E12B7" w:rsidRPr="00B06B0C" w:rsidRDefault="009B446A" w:rsidP="004E12B7">
            <w:pPr>
              <w:jc w:val="both"/>
              <w:rPr>
                <w:rFonts w:ascii="Times New Roman" w:hAnsi="Times New Roman"/>
                <w:sz w:val="20"/>
                <w:highlight w:val="yellow"/>
              </w:rPr>
            </w:pPr>
          </w:p>
        </w:tc>
      </w:tr>
      <w:tr w:rsidR="00207C08" w14:paraId="74B175FA" w14:textId="77777777" w:rsidTr="004E12B7">
        <w:trPr>
          <w:trHeight w:val="315"/>
        </w:trPr>
        <w:tc>
          <w:tcPr>
            <w:tcW w:w="5954" w:type="dxa"/>
            <w:gridSpan w:val="4"/>
            <w:tcBorders>
              <w:top w:val="single" w:sz="4" w:space="0" w:color="auto"/>
              <w:left w:val="single" w:sz="4" w:space="0" w:color="auto"/>
              <w:bottom w:val="nil"/>
              <w:right w:val="single" w:sz="4" w:space="0" w:color="auto"/>
            </w:tcBorders>
            <w:shd w:val="clear" w:color="auto" w:fill="auto"/>
            <w:noWrap/>
            <w:vAlign w:val="center"/>
            <w:hideMark/>
          </w:tcPr>
          <w:p w14:paraId="1D1DDE35" w14:textId="77777777" w:rsidR="004E12B7" w:rsidRPr="00CD651D" w:rsidRDefault="00CE562C" w:rsidP="004E12B7">
            <w:pPr>
              <w:jc w:val="both"/>
              <w:rPr>
                <w:rFonts w:cs="Arial"/>
                <w:b/>
                <w:bCs/>
                <w:color w:val="000000"/>
                <w:sz w:val="20"/>
              </w:rPr>
            </w:pPr>
            <w:r w:rsidRPr="00CD651D">
              <w:rPr>
                <w:rFonts w:cs="Arial"/>
                <w:b/>
                <w:bCs/>
                <w:color w:val="000000"/>
                <w:sz w:val="20"/>
              </w:rPr>
              <w:t>Minimum Average Credit Rating</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E26961" w14:textId="2EA82377" w:rsidR="004E12B7" w:rsidRPr="00CD651D" w:rsidRDefault="00925760" w:rsidP="004E12B7">
            <w:pPr>
              <w:jc w:val="center"/>
              <w:rPr>
                <w:rFonts w:cs="Arial"/>
                <w:b/>
                <w:bCs/>
                <w:color w:val="000000"/>
                <w:sz w:val="20"/>
              </w:rPr>
            </w:pPr>
            <w:r>
              <w:rPr>
                <w:rFonts w:cs="Arial"/>
                <w:b/>
                <w:bCs/>
                <w:color w:val="000000"/>
                <w:sz w:val="20"/>
              </w:rPr>
              <w:t>Minimum</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164B7" w14:textId="77777777" w:rsidR="004E12B7" w:rsidRPr="00CD651D" w:rsidRDefault="00CE562C" w:rsidP="004E12B7">
            <w:pPr>
              <w:jc w:val="center"/>
              <w:rPr>
                <w:rFonts w:cs="Arial"/>
                <w:b/>
                <w:bCs/>
                <w:color w:val="000000"/>
                <w:sz w:val="20"/>
              </w:rPr>
            </w:pPr>
            <w:r w:rsidRPr="00CD651D">
              <w:rPr>
                <w:rFonts w:cs="Arial"/>
                <w:b/>
                <w:bCs/>
                <w:color w:val="000000"/>
                <w:sz w:val="20"/>
              </w:rPr>
              <w:t>Actual</w:t>
            </w:r>
          </w:p>
        </w:tc>
      </w:tr>
      <w:tr w:rsidR="00207C08" w14:paraId="5D38AD92" w14:textId="77777777" w:rsidTr="004E12B7">
        <w:trPr>
          <w:trHeight w:val="385"/>
        </w:trPr>
        <w:tc>
          <w:tcPr>
            <w:tcW w:w="5954" w:type="dxa"/>
            <w:gridSpan w:val="4"/>
            <w:tcBorders>
              <w:top w:val="nil"/>
              <w:left w:val="single" w:sz="4" w:space="0" w:color="auto"/>
              <w:bottom w:val="single" w:sz="4" w:space="0" w:color="auto"/>
              <w:right w:val="single" w:sz="4" w:space="0" w:color="auto"/>
            </w:tcBorders>
            <w:shd w:val="clear" w:color="auto" w:fill="auto"/>
            <w:vAlign w:val="center"/>
            <w:hideMark/>
          </w:tcPr>
          <w:p w14:paraId="5707EC2F" w14:textId="77777777" w:rsidR="004E12B7" w:rsidRPr="00CD651D" w:rsidRDefault="00CE562C" w:rsidP="004E12B7">
            <w:pPr>
              <w:jc w:val="both"/>
              <w:rPr>
                <w:rFonts w:cs="Arial"/>
                <w:color w:val="000000"/>
                <w:sz w:val="20"/>
              </w:rPr>
            </w:pPr>
            <w:r w:rsidRPr="00CD651D">
              <w:rPr>
                <w:rFonts w:cs="Arial"/>
                <w:color w:val="000000"/>
                <w:sz w:val="20"/>
              </w:rPr>
              <w:t xml:space="preserve">To control credit risk the </w:t>
            </w:r>
            <w:r>
              <w:rPr>
                <w:rFonts w:cs="Arial"/>
                <w:color w:val="000000"/>
                <w:sz w:val="20"/>
              </w:rPr>
              <w:t xml:space="preserve">council </w:t>
            </w:r>
            <w:r w:rsidRPr="00CD651D">
              <w:rPr>
                <w:rFonts w:cs="Arial"/>
                <w:color w:val="000000"/>
                <w:sz w:val="20"/>
              </w:rPr>
              <w:t>requires a very high credit rating from its treasury counterparties</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5FCA45C" w14:textId="77777777" w:rsidR="004E12B7" w:rsidRPr="00CD651D" w:rsidRDefault="009B446A" w:rsidP="004E12B7">
            <w:pPr>
              <w:jc w:val="center"/>
              <w:rPr>
                <w:rFonts w:cs="Arial"/>
                <w:b/>
                <w:bCs/>
                <w:color w:val="000000"/>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83A3CBC" w14:textId="77777777" w:rsidR="004E12B7" w:rsidRPr="00CD651D" w:rsidRDefault="009B446A" w:rsidP="004E12B7">
            <w:pPr>
              <w:jc w:val="center"/>
              <w:rPr>
                <w:rFonts w:cs="Arial"/>
                <w:b/>
                <w:bCs/>
                <w:color w:val="000000"/>
                <w:sz w:val="20"/>
              </w:rPr>
            </w:pPr>
          </w:p>
        </w:tc>
      </w:tr>
      <w:tr w:rsidR="00207C08" w14:paraId="13896635" w14:textId="77777777" w:rsidTr="004E12B7">
        <w:trPr>
          <w:trHeight w:val="275"/>
        </w:trPr>
        <w:tc>
          <w:tcPr>
            <w:tcW w:w="595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7997F" w14:textId="77777777" w:rsidR="004E12B7" w:rsidRPr="00CD651D" w:rsidRDefault="00CE562C" w:rsidP="004E12B7">
            <w:pPr>
              <w:jc w:val="both"/>
              <w:rPr>
                <w:rFonts w:cs="Arial"/>
                <w:color w:val="000000"/>
                <w:sz w:val="20"/>
              </w:rPr>
            </w:pPr>
            <w:r w:rsidRPr="00CD651D">
              <w:rPr>
                <w:rFonts w:cs="Arial"/>
                <w:color w:val="000000"/>
                <w:sz w:val="20"/>
              </w:rPr>
              <w:t>Average counterparty credit rating</w:t>
            </w:r>
          </w:p>
        </w:tc>
        <w:tc>
          <w:tcPr>
            <w:tcW w:w="1417" w:type="dxa"/>
            <w:tcBorders>
              <w:top w:val="nil"/>
              <w:left w:val="nil"/>
              <w:bottom w:val="single" w:sz="4" w:space="0" w:color="auto"/>
              <w:right w:val="single" w:sz="4" w:space="0" w:color="auto"/>
            </w:tcBorders>
            <w:shd w:val="clear" w:color="auto" w:fill="auto"/>
            <w:noWrap/>
            <w:vAlign w:val="center"/>
            <w:hideMark/>
          </w:tcPr>
          <w:p w14:paraId="3B7886B6" w14:textId="77777777" w:rsidR="004E12B7" w:rsidRPr="00CD651D" w:rsidRDefault="00CE562C" w:rsidP="004E12B7">
            <w:pPr>
              <w:jc w:val="center"/>
              <w:rPr>
                <w:rFonts w:cs="Arial"/>
                <w:color w:val="000000"/>
                <w:sz w:val="20"/>
              </w:rPr>
            </w:pPr>
            <w:r w:rsidRPr="00CD651D">
              <w:rPr>
                <w:rFonts w:cs="Arial"/>
                <w:color w:val="000000"/>
                <w:sz w:val="20"/>
              </w:rPr>
              <w:t>A+</w:t>
            </w:r>
          </w:p>
        </w:tc>
        <w:tc>
          <w:tcPr>
            <w:tcW w:w="1276" w:type="dxa"/>
            <w:tcBorders>
              <w:top w:val="nil"/>
              <w:left w:val="nil"/>
              <w:bottom w:val="single" w:sz="4" w:space="0" w:color="auto"/>
              <w:right w:val="single" w:sz="4" w:space="0" w:color="auto"/>
            </w:tcBorders>
            <w:shd w:val="clear" w:color="auto" w:fill="auto"/>
            <w:noWrap/>
            <w:vAlign w:val="center"/>
            <w:hideMark/>
          </w:tcPr>
          <w:p w14:paraId="19D4CB56" w14:textId="77777777" w:rsidR="004E12B7" w:rsidRPr="00CD651D" w:rsidRDefault="00CE562C" w:rsidP="004E12B7">
            <w:pPr>
              <w:jc w:val="center"/>
              <w:rPr>
                <w:rFonts w:cs="Arial"/>
                <w:color w:val="000000"/>
                <w:sz w:val="20"/>
              </w:rPr>
            </w:pPr>
            <w:r w:rsidRPr="00CD651D">
              <w:rPr>
                <w:rFonts w:cs="Arial"/>
                <w:color w:val="000000"/>
                <w:sz w:val="20"/>
              </w:rPr>
              <w:t>AA</w:t>
            </w:r>
          </w:p>
        </w:tc>
      </w:tr>
    </w:tbl>
    <w:p w14:paraId="1922A911" w14:textId="77777777" w:rsidR="004E12B7" w:rsidRDefault="009B446A" w:rsidP="004E12B7">
      <w:pPr>
        <w:jc w:val="both"/>
        <w:rPr>
          <w:szCs w:val="24"/>
        </w:rPr>
      </w:pPr>
    </w:p>
    <w:p w14:paraId="61BCB249" w14:textId="77777777" w:rsidR="004E12B7" w:rsidRPr="009B2A1D" w:rsidRDefault="00CE562C" w:rsidP="004E12B7">
      <w:pPr>
        <w:jc w:val="both"/>
        <w:rPr>
          <w:sz w:val="96"/>
          <w:szCs w:val="96"/>
        </w:rPr>
      </w:pPr>
      <w:r w:rsidRPr="00BD682D">
        <w:rPr>
          <w:szCs w:val="24"/>
        </w:rPr>
        <w:t xml:space="preserve">The </w:t>
      </w:r>
      <w:r>
        <w:rPr>
          <w:szCs w:val="24"/>
        </w:rPr>
        <w:t>c</w:t>
      </w:r>
      <w:r w:rsidRPr="00BD682D">
        <w:rPr>
          <w:szCs w:val="24"/>
        </w:rPr>
        <w:t xml:space="preserve">ouncil complied with its Prudential Indicators for 2017/18, which were approved as part of </w:t>
      </w:r>
      <w:r>
        <w:rPr>
          <w:szCs w:val="24"/>
        </w:rPr>
        <w:t>its</w:t>
      </w:r>
      <w:r w:rsidRPr="00BD682D">
        <w:rPr>
          <w:szCs w:val="24"/>
        </w:rPr>
        <w:t xml:space="preserve"> Treasury Management Strategy Statement. </w:t>
      </w:r>
    </w:p>
    <w:sectPr w:rsidR="004E12B7" w:rsidRPr="009B2A1D" w:rsidSect="004E12B7">
      <w:footerReference w:type="default" r:id="rId10"/>
      <w:footerReference w:type="first" r:id="rId11"/>
      <w:pgSz w:w="11907" w:h="16840" w:code="9"/>
      <w:pgMar w:top="1440" w:right="1440" w:bottom="1440" w:left="1440" w:header="720" w:footer="306"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1B15A" w14:textId="77777777" w:rsidR="0032146F" w:rsidRDefault="00CE562C">
      <w:r>
        <w:separator/>
      </w:r>
    </w:p>
  </w:endnote>
  <w:endnote w:type="continuationSeparator" w:id="0">
    <w:p w14:paraId="1FED4BEF" w14:textId="77777777" w:rsidR="0032146F" w:rsidRDefault="00CE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T369195o00">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517BE" w14:textId="77777777" w:rsidR="004E12B7" w:rsidRDefault="009B446A">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04C3C" w14:textId="77777777" w:rsidR="004E12B7" w:rsidRDefault="009B446A">
    <w:pPr>
      <w:pStyle w:val="Footer"/>
      <w:jc w:val="center"/>
    </w:pPr>
  </w:p>
  <w:p w14:paraId="3DC979A1" w14:textId="77777777" w:rsidR="004E12B7" w:rsidRDefault="009B446A">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070DB" w14:textId="77777777" w:rsidR="0032146F" w:rsidRDefault="00CE562C">
      <w:r>
        <w:separator/>
      </w:r>
    </w:p>
  </w:footnote>
  <w:footnote w:type="continuationSeparator" w:id="0">
    <w:p w14:paraId="3F5F2BCC" w14:textId="77777777" w:rsidR="0032146F" w:rsidRDefault="00CE56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8"/>
    <w:lvl w:ilvl="0">
      <w:start w:val="1"/>
      <w:numFmt w:val="decimal"/>
      <w:lvlText w:val="%1."/>
      <w:lvlJc w:val="left"/>
      <w:pPr>
        <w:tabs>
          <w:tab w:val="num" w:pos="720"/>
        </w:tabs>
        <w:ind w:left="720" w:hanging="720"/>
      </w:pPr>
      <w:rPr>
        <w:rFonts w:ascii="Verdana" w:hAnsi="Verdana" w:cs="Times New Roman"/>
        <w:sz w:val="20"/>
        <w:szCs w:val="20"/>
      </w:rPr>
    </w:lvl>
  </w:abstractNum>
  <w:abstractNum w:abstractNumId="1" w15:restartNumberingAfterBreak="0">
    <w:nsid w:val="000B4694"/>
    <w:multiLevelType w:val="hybridMultilevel"/>
    <w:tmpl w:val="BB2CF7BC"/>
    <w:lvl w:ilvl="0" w:tplc="5C7093F2">
      <w:start w:val="4"/>
      <w:numFmt w:val="decimal"/>
      <w:lvlText w:val="%1."/>
      <w:lvlJc w:val="left"/>
      <w:pPr>
        <w:ind w:left="720" w:hanging="360"/>
      </w:pPr>
      <w:rPr>
        <w:rFonts w:cs="Times New Roman" w:hint="default"/>
      </w:rPr>
    </w:lvl>
    <w:lvl w:ilvl="1" w:tplc="34E45C88" w:tentative="1">
      <w:start w:val="1"/>
      <w:numFmt w:val="lowerLetter"/>
      <w:lvlText w:val="%2."/>
      <w:lvlJc w:val="left"/>
      <w:pPr>
        <w:ind w:left="1440" w:hanging="360"/>
      </w:pPr>
      <w:rPr>
        <w:rFonts w:cs="Times New Roman"/>
      </w:rPr>
    </w:lvl>
    <w:lvl w:ilvl="2" w:tplc="53C4DEDC" w:tentative="1">
      <w:start w:val="1"/>
      <w:numFmt w:val="lowerRoman"/>
      <w:lvlText w:val="%3."/>
      <w:lvlJc w:val="right"/>
      <w:pPr>
        <w:ind w:left="2160" w:hanging="180"/>
      </w:pPr>
      <w:rPr>
        <w:rFonts w:cs="Times New Roman"/>
      </w:rPr>
    </w:lvl>
    <w:lvl w:ilvl="3" w:tplc="55540DA6" w:tentative="1">
      <w:start w:val="1"/>
      <w:numFmt w:val="decimal"/>
      <w:lvlText w:val="%4."/>
      <w:lvlJc w:val="left"/>
      <w:pPr>
        <w:ind w:left="2880" w:hanging="360"/>
      </w:pPr>
      <w:rPr>
        <w:rFonts w:cs="Times New Roman"/>
      </w:rPr>
    </w:lvl>
    <w:lvl w:ilvl="4" w:tplc="E2EAD360" w:tentative="1">
      <w:start w:val="1"/>
      <w:numFmt w:val="lowerLetter"/>
      <w:lvlText w:val="%5."/>
      <w:lvlJc w:val="left"/>
      <w:pPr>
        <w:ind w:left="3600" w:hanging="360"/>
      </w:pPr>
      <w:rPr>
        <w:rFonts w:cs="Times New Roman"/>
      </w:rPr>
    </w:lvl>
    <w:lvl w:ilvl="5" w:tplc="94E6D504" w:tentative="1">
      <w:start w:val="1"/>
      <w:numFmt w:val="lowerRoman"/>
      <w:lvlText w:val="%6."/>
      <w:lvlJc w:val="right"/>
      <w:pPr>
        <w:ind w:left="4320" w:hanging="180"/>
      </w:pPr>
      <w:rPr>
        <w:rFonts w:cs="Times New Roman"/>
      </w:rPr>
    </w:lvl>
    <w:lvl w:ilvl="6" w:tplc="94F052D0" w:tentative="1">
      <w:start w:val="1"/>
      <w:numFmt w:val="decimal"/>
      <w:lvlText w:val="%7."/>
      <w:lvlJc w:val="left"/>
      <w:pPr>
        <w:ind w:left="5040" w:hanging="360"/>
      </w:pPr>
      <w:rPr>
        <w:rFonts w:cs="Times New Roman"/>
      </w:rPr>
    </w:lvl>
    <w:lvl w:ilvl="7" w:tplc="46E8CA3A" w:tentative="1">
      <w:start w:val="1"/>
      <w:numFmt w:val="lowerLetter"/>
      <w:lvlText w:val="%8."/>
      <w:lvlJc w:val="left"/>
      <w:pPr>
        <w:ind w:left="5760" w:hanging="360"/>
      </w:pPr>
      <w:rPr>
        <w:rFonts w:cs="Times New Roman"/>
      </w:rPr>
    </w:lvl>
    <w:lvl w:ilvl="8" w:tplc="8B9C7F7A" w:tentative="1">
      <w:start w:val="1"/>
      <w:numFmt w:val="lowerRoman"/>
      <w:lvlText w:val="%9."/>
      <w:lvlJc w:val="right"/>
      <w:pPr>
        <w:ind w:left="6480" w:hanging="180"/>
      </w:pPr>
      <w:rPr>
        <w:rFonts w:cs="Times New Roman"/>
      </w:rPr>
    </w:lvl>
  </w:abstractNum>
  <w:abstractNum w:abstractNumId="2" w15:restartNumberingAfterBreak="0">
    <w:nsid w:val="04BA048B"/>
    <w:multiLevelType w:val="hybridMultilevel"/>
    <w:tmpl w:val="9470F8A4"/>
    <w:lvl w:ilvl="0" w:tplc="93CC7E1C">
      <w:start w:val="3"/>
      <w:numFmt w:val="bullet"/>
      <w:lvlText w:val="-"/>
      <w:lvlJc w:val="left"/>
      <w:pPr>
        <w:ind w:left="720" w:hanging="360"/>
      </w:pPr>
      <w:rPr>
        <w:rFonts w:ascii="TT369195o00" w:eastAsia="Times New Roman" w:hAnsi="TT369195o00" w:hint="default"/>
      </w:rPr>
    </w:lvl>
    <w:lvl w:ilvl="1" w:tplc="7E8C2566" w:tentative="1">
      <w:start w:val="1"/>
      <w:numFmt w:val="bullet"/>
      <w:lvlText w:val="o"/>
      <w:lvlJc w:val="left"/>
      <w:pPr>
        <w:ind w:left="1440" w:hanging="360"/>
      </w:pPr>
      <w:rPr>
        <w:rFonts w:ascii="Courier New" w:hAnsi="Courier New" w:hint="default"/>
      </w:rPr>
    </w:lvl>
    <w:lvl w:ilvl="2" w:tplc="271CB4AE" w:tentative="1">
      <w:start w:val="1"/>
      <w:numFmt w:val="bullet"/>
      <w:lvlText w:val=""/>
      <w:lvlJc w:val="left"/>
      <w:pPr>
        <w:ind w:left="2160" w:hanging="360"/>
      </w:pPr>
      <w:rPr>
        <w:rFonts w:ascii="Wingdings" w:hAnsi="Wingdings" w:hint="default"/>
      </w:rPr>
    </w:lvl>
    <w:lvl w:ilvl="3" w:tplc="E3CC97E8" w:tentative="1">
      <w:start w:val="1"/>
      <w:numFmt w:val="bullet"/>
      <w:lvlText w:val=""/>
      <w:lvlJc w:val="left"/>
      <w:pPr>
        <w:ind w:left="2880" w:hanging="360"/>
      </w:pPr>
      <w:rPr>
        <w:rFonts w:ascii="Symbol" w:hAnsi="Symbol" w:hint="default"/>
      </w:rPr>
    </w:lvl>
    <w:lvl w:ilvl="4" w:tplc="10EEF766" w:tentative="1">
      <w:start w:val="1"/>
      <w:numFmt w:val="bullet"/>
      <w:lvlText w:val="o"/>
      <w:lvlJc w:val="left"/>
      <w:pPr>
        <w:ind w:left="3600" w:hanging="360"/>
      </w:pPr>
      <w:rPr>
        <w:rFonts w:ascii="Courier New" w:hAnsi="Courier New" w:hint="default"/>
      </w:rPr>
    </w:lvl>
    <w:lvl w:ilvl="5" w:tplc="ABEC059E" w:tentative="1">
      <w:start w:val="1"/>
      <w:numFmt w:val="bullet"/>
      <w:lvlText w:val=""/>
      <w:lvlJc w:val="left"/>
      <w:pPr>
        <w:ind w:left="4320" w:hanging="360"/>
      </w:pPr>
      <w:rPr>
        <w:rFonts w:ascii="Wingdings" w:hAnsi="Wingdings" w:hint="default"/>
      </w:rPr>
    </w:lvl>
    <w:lvl w:ilvl="6" w:tplc="DF3C972E" w:tentative="1">
      <w:start w:val="1"/>
      <w:numFmt w:val="bullet"/>
      <w:lvlText w:val=""/>
      <w:lvlJc w:val="left"/>
      <w:pPr>
        <w:ind w:left="5040" w:hanging="360"/>
      </w:pPr>
      <w:rPr>
        <w:rFonts w:ascii="Symbol" w:hAnsi="Symbol" w:hint="default"/>
      </w:rPr>
    </w:lvl>
    <w:lvl w:ilvl="7" w:tplc="4C50FC76" w:tentative="1">
      <w:start w:val="1"/>
      <w:numFmt w:val="bullet"/>
      <w:lvlText w:val="o"/>
      <w:lvlJc w:val="left"/>
      <w:pPr>
        <w:ind w:left="5760" w:hanging="360"/>
      </w:pPr>
      <w:rPr>
        <w:rFonts w:ascii="Courier New" w:hAnsi="Courier New" w:hint="default"/>
      </w:rPr>
    </w:lvl>
    <w:lvl w:ilvl="8" w:tplc="ED86CC7E" w:tentative="1">
      <w:start w:val="1"/>
      <w:numFmt w:val="bullet"/>
      <w:lvlText w:val=""/>
      <w:lvlJc w:val="left"/>
      <w:pPr>
        <w:ind w:left="6480" w:hanging="360"/>
      </w:pPr>
      <w:rPr>
        <w:rFonts w:ascii="Wingdings" w:hAnsi="Wingdings" w:hint="default"/>
      </w:rPr>
    </w:lvl>
  </w:abstractNum>
  <w:abstractNum w:abstractNumId="3" w15:restartNumberingAfterBreak="0">
    <w:nsid w:val="0E197906"/>
    <w:multiLevelType w:val="hybridMultilevel"/>
    <w:tmpl w:val="76FC0DE8"/>
    <w:lvl w:ilvl="0" w:tplc="81FAB47C">
      <w:start w:val="27"/>
      <w:numFmt w:val="bullet"/>
      <w:lvlText w:val=""/>
      <w:lvlJc w:val="left"/>
      <w:pPr>
        <w:ind w:left="720" w:hanging="360"/>
      </w:pPr>
      <w:rPr>
        <w:rFonts w:ascii="Symbol" w:eastAsia="Times New Roman" w:hAnsi="Symbol" w:hint="default"/>
      </w:rPr>
    </w:lvl>
    <w:lvl w:ilvl="1" w:tplc="A58EC334" w:tentative="1">
      <w:start w:val="1"/>
      <w:numFmt w:val="bullet"/>
      <w:lvlText w:val="o"/>
      <w:lvlJc w:val="left"/>
      <w:pPr>
        <w:ind w:left="1440" w:hanging="360"/>
      </w:pPr>
      <w:rPr>
        <w:rFonts w:ascii="Courier New" w:hAnsi="Courier New" w:hint="default"/>
      </w:rPr>
    </w:lvl>
    <w:lvl w:ilvl="2" w:tplc="26BED544" w:tentative="1">
      <w:start w:val="1"/>
      <w:numFmt w:val="bullet"/>
      <w:lvlText w:val=""/>
      <w:lvlJc w:val="left"/>
      <w:pPr>
        <w:ind w:left="2160" w:hanging="360"/>
      </w:pPr>
      <w:rPr>
        <w:rFonts w:ascii="Wingdings" w:hAnsi="Wingdings" w:hint="default"/>
      </w:rPr>
    </w:lvl>
    <w:lvl w:ilvl="3" w:tplc="08CE1784" w:tentative="1">
      <w:start w:val="1"/>
      <w:numFmt w:val="bullet"/>
      <w:lvlText w:val=""/>
      <w:lvlJc w:val="left"/>
      <w:pPr>
        <w:ind w:left="2880" w:hanging="360"/>
      </w:pPr>
      <w:rPr>
        <w:rFonts w:ascii="Symbol" w:hAnsi="Symbol" w:hint="default"/>
      </w:rPr>
    </w:lvl>
    <w:lvl w:ilvl="4" w:tplc="915AB6E4" w:tentative="1">
      <w:start w:val="1"/>
      <w:numFmt w:val="bullet"/>
      <w:lvlText w:val="o"/>
      <w:lvlJc w:val="left"/>
      <w:pPr>
        <w:ind w:left="3600" w:hanging="360"/>
      </w:pPr>
      <w:rPr>
        <w:rFonts w:ascii="Courier New" w:hAnsi="Courier New" w:hint="default"/>
      </w:rPr>
    </w:lvl>
    <w:lvl w:ilvl="5" w:tplc="C28AB066" w:tentative="1">
      <w:start w:val="1"/>
      <w:numFmt w:val="bullet"/>
      <w:lvlText w:val=""/>
      <w:lvlJc w:val="left"/>
      <w:pPr>
        <w:ind w:left="4320" w:hanging="360"/>
      </w:pPr>
      <w:rPr>
        <w:rFonts w:ascii="Wingdings" w:hAnsi="Wingdings" w:hint="default"/>
      </w:rPr>
    </w:lvl>
    <w:lvl w:ilvl="6" w:tplc="E24C4202" w:tentative="1">
      <w:start w:val="1"/>
      <w:numFmt w:val="bullet"/>
      <w:lvlText w:val=""/>
      <w:lvlJc w:val="left"/>
      <w:pPr>
        <w:ind w:left="5040" w:hanging="360"/>
      </w:pPr>
      <w:rPr>
        <w:rFonts w:ascii="Symbol" w:hAnsi="Symbol" w:hint="default"/>
      </w:rPr>
    </w:lvl>
    <w:lvl w:ilvl="7" w:tplc="C526F248" w:tentative="1">
      <w:start w:val="1"/>
      <w:numFmt w:val="bullet"/>
      <w:lvlText w:val="o"/>
      <w:lvlJc w:val="left"/>
      <w:pPr>
        <w:ind w:left="5760" w:hanging="360"/>
      </w:pPr>
      <w:rPr>
        <w:rFonts w:ascii="Courier New" w:hAnsi="Courier New" w:hint="default"/>
      </w:rPr>
    </w:lvl>
    <w:lvl w:ilvl="8" w:tplc="515814B6" w:tentative="1">
      <w:start w:val="1"/>
      <w:numFmt w:val="bullet"/>
      <w:lvlText w:val=""/>
      <w:lvlJc w:val="left"/>
      <w:pPr>
        <w:ind w:left="6480" w:hanging="360"/>
      </w:pPr>
      <w:rPr>
        <w:rFonts w:ascii="Wingdings" w:hAnsi="Wingdings" w:hint="default"/>
      </w:rPr>
    </w:lvl>
  </w:abstractNum>
  <w:abstractNum w:abstractNumId="4" w15:restartNumberingAfterBreak="0">
    <w:nsid w:val="0EC83881"/>
    <w:multiLevelType w:val="hybridMultilevel"/>
    <w:tmpl w:val="02EC95CA"/>
    <w:lvl w:ilvl="0" w:tplc="9B84ACAA">
      <w:start w:val="1"/>
      <w:numFmt w:val="decimal"/>
      <w:lvlText w:val="%1."/>
      <w:lvlJc w:val="left"/>
      <w:pPr>
        <w:ind w:left="1080" w:hanging="360"/>
      </w:pPr>
      <w:rPr>
        <w:rFonts w:cs="Times New Roman" w:hint="default"/>
        <w:sz w:val="24"/>
      </w:rPr>
    </w:lvl>
    <w:lvl w:ilvl="1" w:tplc="73588ECE" w:tentative="1">
      <w:start w:val="1"/>
      <w:numFmt w:val="lowerLetter"/>
      <w:lvlText w:val="%2."/>
      <w:lvlJc w:val="left"/>
      <w:pPr>
        <w:ind w:left="1800" w:hanging="360"/>
      </w:pPr>
      <w:rPr>
        <w:rFonts w:cs="Times New Roman"/>
      </w:rPr>
    </w:lvl>
    <w:lvl w:ilvl="2" w:tplc="05A00A8A" w:tentative="1">
      <w:start w:val="1"/>
      <w:numFmt w:val="lowerRoman"/>
      <w:lvlText w:val="%3."/>
      <w:lvlJc w:val="right"/>
      <w:pPr>
        <w:ind w:left="2520" w:hanging="180"/>
      </w:pPr>
      <w:rPr>
        <w:rFonts w:cs="Times New Roman"/>
      </w:rPr>
    </w:lvl>
    <w:lvl w:ilvl="3" w:tplc="A6D0FBE0" w:tentative="1">
      <w:start w:val="1"/>
      <w:numFmt w:val="decimal"/>
      <w:lvlText w:val="%4."/>
      <w:lvlJc w:val="left"/>
      <w:pPr>
        <w:ind w:left="3240" w:hanging="360"/>
      </w:pPr>
      <w:rPr>
        <w:rFonts w:cs="Times New Roman"/>
      </w:rPr>
    </w:lvl>
    <w:lvl w:ilvl="4" w:tplc="79DEC33C" w:tentative="1">
      <w:start w:val="1"/>
      <w:numFmt w:val="lowerLetter"/>
      <w:lvlText w:val="%5."/>
      <w:lvlJc w:val="left"/>
      <w:pPr>
        <w:ind w:left="3960" w:hanging="360"/>
      </w:pPr>
      <w:rPr>
        <w:rFonts w:cs="Times New Roman"/>
      </w:rPr>
    </w:lvl>
    <w:lvl w:ilvl="5" w:tplc="79D0AD7C" w:tentative="1">
      <w:start w:val="1"/>
      <w:numFmt w:val="lowerRoman"/>
      <w:lvlText w:val="%6."/>
      <w:lvlJc w:val="right"/>
      <w:pPr>
        <w:ind w:left="4680" w:hanging="180"/>
      </w:pPr>
      <w:rPr>
        <w:rFonts w:cs="Times New Roman"/>
      </w:rPr>
    </w:lvl>
    <w:lvl w:ilvl="6" w:tplc="0A20AA14" w:tentative="1">
      <w:start w:val="1"/>
      <w:numFmt w:val="decimal"/>
      <w:lvlText w:val="%7."/>
      <w:lvlJc w:val="left"/>
      <w:pPr>
        <w:ind w:left="5400" w:hanging="360"/>
      </w:pPr>
      <w:rPr>
        <w:rFonts w:cs="Times New Roman"/>
      </w:rPr>
    </w:lvl>
    <w:lvl w:ilvl="7" w:tplc="64EC079C" w:tentative="1">
      <w:start w:val="1"/>
      <w:numFmt w:val="lowerLetter"/>
      <w:lvlText w:val="%8."/>
      <w:lvlJc w:val="left"/>
      <w:pPr>
        <w:ind w:left="6120" w:hanging="360"/>
      </w:pPr>
      <w:rPr>
        <w:rFonts w:cs="Times New Roman"/>
      </w:rPr>
    </w:lvl>
    <w:lvl w:ilvl="8" w:tplc="3FC00A3C" w:tentative="1">
      <w:start w:val="1"/>
      <w:numFmt w:val="lowerRoman"/>
      <w:lvlText w:val="%9."/>
      <w:lvlJc w:val="right"/>
      <w:pPr>
        <w:ind w:left="6840" w:hanging="180"/>
      </w:pPr>
      <w:rPr>
        <w:rFonts w:cs="Times New Roman"/>
      </w:rPr>
    </w:lvl>
  </w:abstractNum>
  <w:abstractNum w:abstractNumId="5" w15:restartNumberingAfterBreak="0">
    <w:nsid w:val="0FC36579"/>
    <w:multiLevelType w:val="hybridMultilevel"/>
    <w:tmpl w:val="9A9A9F9A"/>
    <w:lvl w:ilvl="0" w:tplc="CB146000">
      <w:start w:val="6"/>
      <w:numFmt w:val="decimal"/>
      <w:lvlText w:val="%1"/>
      <w:lvlJc w:val="left"/>
      <w:pPr>
        <w:ind w:left="720" w:hanging="360"/>
      </w:pPr>
      <w:rPr>
        <w:rFonts w:cs="Times New Roman" w:hint="default"/>
      </w:rPr>
    </w:lvl>
    <w:lvl w:ilvl="1" w:tplc="7B0E3BE4" w:tentative="1">
      <w:start w:val="1"/>
      <w:numFmt w:val="lowerLetter"/>
      <w:lvlText w:val="%2."/>
      <w:lvlJc w:val="left"/>
      <w:pPr>
        <w:ind w:left="1440" w:hanging="360"/>
      </w:pPr>
      <w:rPr>
        <w:rFonts w:cs="Times New Roman"/>
      </w:rPr>
    </w:lvl>
    <w:lvl w:ilvl="2" w:tplc="1F96FFDA" w:tentative="1">
      <w:start w:val="1"/>
      <w:numFmt w:val="lowerRoman"/>
      <w:lvlText w:val="%3."/>
      <w:lvlJc w:val="right"/>
      <w:pPr>
        <w:ind w:left="2160" w:hanging="180"/>
      </w:pPr>
      <w:rPr>
        <w:rFonts w:cs="Times New Roman"/>
      </w:rPr>
    </w:lvl>
    <w:lvl w:ilvl="3" w:tplc="1AF44342" w:tentative="1">
      <w:start w:val="1"/>
      <w:numFmt w:val="decimal"/>
      <w:lvlText w:val="%4."/>
      <w:lvlJc w:val="left"/>
      <w:pPr>
        <w:ind w:left="2880" w:hanging="360"/>
      </w:pPr>
      <w:rPr>
        <w:rFonts w:cs="Times New Roman"/>
      </w:rPr>
    </w:lvl>
    <w:lvl w:ilvl="4" w:tplc="B6BE3526" w:tentative="1">
      <w:start w:val="1"/>
      <w:numFmt w:val="lowerLetter"/>
      <w:lvlText w:val="%5."/>
      <w:lvlJc w:val="left"/>
      <w:pPr>
        <w:ind w:left="3600" w:hanging="360"/>
      </w:pPr>
      <w:rPr>
        <w:rFonts w:cs="Times New Roman"/>
      </w:rPr>
    </w:lvl>
    <w:lvl w:ilvl="5" w:tplc="5E6A8DBC" w:tentative="1">
      <w:start w:val="1"/>
      <w:numFmt w:val="lowerRoman"/>
      <w:lvlText w:val="%6."/>
      <w:lvlJc w:val="right"/>
      <w:pPr>
        <w:ind w:left="4320" w:hanging="180"/>
      </w:pPr>
      <w:rPr>
        <w:rFonts w:cs="Times New Roman"/>
      </w:rPr>
    </w:lvl>
    <w:lvl w:ilvl="6" w:tplc="0430F84C" w:tentative="1">
      <w:start w:val="1"/>
      <w:numFmt w:val="decimal"/>
      <w:lvlText w:val="%7."/>
      <w:lvlJc w:val="left"/>
      <w:pPr>
        <w:ind w:left="5040" w:hanging="360"/>
      </w:pPr>
      <w:rPr>
        <w:rFonts w:cs="Times New Roman"/>
      </w:rPr>
    </w:lvl>
    <w:lvl w:ilvl="7" w:tplc="3D009F98" w:tentative="1">
      <w:start w:val="1"/>
      <w:numFmt w:val="lowerLetter"/>
      <w:lvlText w:val="%8."/>
      <w:lvlJc w:val="left"/>
      <w:pPr>
        <w:ind w:left="5760" w:hanging="360"/>
      </w:pPr>
      <w:rPr>
        <w:rFonts w:cs="Times New Roman"/>
      </w:rPr>
    </w:lvl>
    <w:lvl w:ilvl="8" w:tplc="020CBFC0" w:tentative="1">
      <w:start w:val="1"/>
      <w:numFmt w:val="lowerRoman"/>
      <w:lvlText w:val="%9."/>
      <w:lvlJc w:val="right"/>
      <w:pPr>
        <w:ind w:left="6480" w:hanging="180"/>
      </w:pPr>
      <w:rPr>
        <w:rFonts w:cs="Times New Roman"/>
      </w:rPr>
    </w:lvl>
  </w:abstractNum>
  <w:abstractNum w:abstractNumId="6" w15:restartNumberingAfterBreak="0">
    <w:nsid w:val="13A14B74"/>
    <w:multiLevelType w:val="hybridMultilevel"/>
    <w:tmpl w:val="0090E514"/>
    <w:lvl w:ilvl="0" w:tplc="F70E9152">
      <w:start w:val="1"/>
      <w:numFmt w:val="bullet"/>
      <w:lvlText w:val=""/>
      <w:lvlJc w:val="left"/>
      <w:pPr>
        <w:ind w:left="502" w:hanging="360"/>
      </w:pPr>
      <w:rPr>
        <w:rFonts w:ascii="Symbol" w:hAnsi="Symbol" w:hint="default"/>
      </w:rPr>
    </w:lvl>
    <w:lvl w:ilvl="1" w:tplc="89145090" w:tentative="1">
      <w:start w:val="1"/>
      <w:numFmt w:val="bullet"/>
      <w:lvlText w:val="o"/>
      <w:lvlJc w:val="left"/>
      <w:pPr>
        <w:ind w:left="1222" w:hanging="360"/>
      </w:pPr>
      <w:rPr>
        <w:rFonts w:ascii="Courier New" w:hAnsi="Courier New" w:hint="default"/>
      </w:rPr>
    </w:lvl>
    <w:lvl w:ilvl="2" w:tplc="21B0CAE6" w:tentative="1">
      <w:start w:val="1"/>
      <w:numFmt w:val="bullet"/>
      <w:lvlText w:val=""/>
      <w:lvlJc w:val="left"/>
      <w:pPr>
        <w:ind w:left="1942" w:hanging="360"/>
      </w:pPr>
      <w:rPr>
        <w:rFonts w:ascii="Wingdings" w:hAnsi="Wingdings" w:hint="default"/>
      </w:rPr>
    </w:lvl>
    <w:lvl w:ilvl="3" w:tplc="50F06F5E" w:tentative="1">
      <w:start w:val="1"/>
      <w:numFmt w:val="bullet"/>
      <w:lvlText w:val=""/>
      <w:lvlJc w:val="left"/>
      <w:pPr>
        <w:ind w:left="2662" w:hanging="360"/>
      </w:pPr>
      <w:rPr>
        <w:rFonts w:ascii="Symbol" w:hAnsi="Symbol" w:hint="default"/>
      </w:rPr>
    </w:lvl>
    <w:lvl w:ilvl="4" w:tplc="CAEE98E2" w:tentative="1">
      <w:start w:val="1"/>
      <w:numFmt w:val="bullet"/>
      <w:lvlText w:val="o"/>
      <w:lvlJc w:val="left"/>
      <w:pPr>
        <w:ind w:left="3382" w:hanging="360"/>
      </w:pPr>
      <w:rPr>
        <w:rFonts w:ascii="Courier New" w:hAnsi="Courier New" w:hint="default"/>
      </w:rPr>
    </w:lvl>
    <w:lvl w:ilvl="5" w:tplc="8FCC2A10" w:tentative="1">
      <w:start w:val="1"/>
      <w:numFmt w:val="bullet"/>
      <w:lvlText w:val=""/>
      <w:lvlJc w:val="left"/>
      <w:pPr>
        <w:ind w:left="4102" w:hanging="360"/>
      </w:pPr>
      <w:rPr>
        <w:rFonts w:ascii="Wingdings" w:hAnsi="Wingdings" w:hint="default"/>
      </w:rPr>
    </w:lvl>
    <w:lvl w:ilvl="6" w:tplc="1BE0CBE6" w:tentative="1">
      <w:start w:val="1"/>
      <w:numFmt w:val="bullet"/>
      <w:lvlText w:val=""/>
      <w:lvlJc w:val="left"/>
      <w:pPr>
        <w:ind w:left="4822" w:hanging="360"/>
      </w:pPr>
      <w:rPr>
        <w:rFonts w:ascii="Symbol" w:hAnsi="Symbol" w:hint="default"/>
      </w:rPr>
    </w:lvl>
    <w:lvl w:ilvl="7" w:tplc="CFC8CD4E" w:tentative="1">
      <w:start w:val="1"/>
      <w:numFmt w:val="bullet"/>
      <w:lvlText w:val="o"/>
      <w:lvlJc w:val="left"/>
      <w:pPr>
        <w:ind w:left="5542" w:hanging="360"/>
      </w:pPr>
      <w:rPr>
        <w:rFonts w:ascii="Courier New" w:hAnsi="Courier New" w:hint="default"/>
      </w:rPr>
    </w:lvl>
    <w:lvl w:ilvl="8" w:tplc="C078650A" w:tentative="1">
      <w:start w:val="1"/>
      <w:numFmt w:val="bullet"/>
      <w:lvlText w:val=""/>
      <w:lvlJc w:val="left"/>
      <w:pPr>
        <w:ind w:left="6262" w:hanging="360"/>
      </w:pPr>
      <w:rPr>
        <w:rFonts w:ascii="Wingdings" w:hAnsi="Wingdings" w:hint="default"/>
      </w:rPr>
    </w:lvl>
  </w:abstractNum>
  <w:abstractNum w:abstractNumId="7" w15:restartNumberingAfterBreak="0">
    <w:nsid w:val="167962E6"/>
    <w:multiLevelType w:val="hybridMultilevel"/>
    <w:tmpl w:val="7D9099BA"/>
    <w:lvl w:ilvl="0" w:tplc="ABD22B16">
      <w:start w:val="1"/>
      <w:numFmt w:val="bullet"/>
      <w:lvlText w:val=""/>
      <w:lvlJc w:val="left"/>
      <w:pPr>
        <w:ind w:left="1080" w:hanging="360"/>
      </w:pPr>
      <w:rPr>
        <w:rFonts w:ascii="Symbol" w:hAnsi="Symbol" w:hint="default"/>
      </w:rPr>
    </w:lvl>
    <w:lvl w:ilvl="1" w:tplc="3E022D50" w:tentative="1">
      <w:start w:val="1"/>
      <w:numFmt w:val="bullet"/>
      <w:lvlText w:val="o"/>
      <w:lvlJc w:val="left"/>
      <w:pPr>
        <w:ind w:left="1800" w:hanging="360"/>
      </w:pPr>
      <w:rPr>
        <w:rFonts w:ascii="Courier New" w:hAnsi="Courier New" w:hint="default"/>
      </w:rPr>
    </w:lvl>
    <w:lvl w:ilvl="2" w:tplc="A994FCE0" w:tentative="1">
      <w:start w:val="1"/>
      <w:numFmt w:val="bullet"/>
      <w:lvlText w:val=""/>
      <w:lvlJc w:val="left"/>
      <w:pPr>
        <w:ind w:left="2520" w:hanging="360"/>
      </w:pPr>
      <w:rPr>
        <w:rFonts w:ascii="Wingdings" w:hAnsi="Wingdings" w:hint="default"/>
      </w:rPr>
    </w:lvl>
    <w:lvl w:ilvl="3" w:tplc="B8C61A90" w:tentative="1">
      <w:start w:val="1"/>
      <w:numFmt w:val="bullet"/>
      <w:lvlText w:val=""/>
      <w:lvlJc w:val="left"/>
      <w:pPr>
        <w:ind w:left="3240" w:hanging="360"/>
      </w:pPr>
      <w:rPr>
        <w:rFonts w:ascii="Symbol" w:hAnsi="Symbol" w:hint="default"/>
      </w:rPr>
    </w:lvl>
    <w:lvl w:ilvl="4" w:tplc="4AB67C60" w:tentative="1">
      <w:start w:val="1"/>
      <w:numFmt w:val="bullet"/>
      <w:lvlText w:val="o"/>
      <w:lvlJc w:val="left"/>
      <w:pPr>
        <w:ind w:left="3960" w:hanging="360"/>
      </w:pPr>
      <w:rPr>
        <w:rFonts w:ascii="Courier New" w:hAnsi="Courier New" w:hint="default"/>
      </w:rPr>
    </w:lvl>
    <w:lvl w:ilvl="5" w:tplc="CA68AEAC" w:tentative="1">
      <w:start w:val="1"/>
      <w:numFmt w:val="bullet"/>
      <w:lvlText w:val=""/>
      <w:lvlJc w:val="left"/>
      <w:pPr>
        <w:ind w:left="4680" w:hanging="360"/>
      </w:pPr>
      <w:rPr>
        <w:rFonts w:ascii="Wingdings" w:hAnsi="Wingdings" w:hint="default"/>
      </w:rPr>
    </w:lvl>
    <w:lvl w:ilvl="6" w:tplc="99EC8924" w:tentative="1">
      <w:start w:val="1"/>
      <w:numFmt w:val="bullet"/>
      <w:lvlText w:val=""/>
      <w:lvlJc w:val="left"/>
      <w:pPr>
        <w:ind w:left="5400" w:hanging="360"/>
      </w:pPr>
      <w:rPr>
        <w:rFonts w:ascii="Symbol" w:hAnsi="Symbol" w:hint="default"/>
      </w:rPr>
    </w:lvl>
    <w:lvl w:ilvl="7" w:tplc="C64E587A" w:tentative="1">
      <w:start w:val="1"/>
      <w:numFmt w:val="bullet"/>
      <w:lvlText w:val="o"/>
      <w:lvlJc w:val="left"/>
      <w:pPr>
        <w:ind w:left="6120" w:hanging="360"/>
      </w:pPr>
      <w:rPr>
        <w:rFonts w:ascii="Courier New" w:hAnsi="Courier New" w:hint="default"/>
      </w:rPr>
    </w:lvl>
    <w:lvl w:ilvl="8" w:tplc="B44ECAD8" w:tentative="1">
      <w:start w:val="1"/>
      <w:numFmt w:val="bullet"/>
      <w:lvlText w:val=""/>
      <w:lvlJc w:val="left"/>
      <w:pPr>
        <w:ind w:left="6840" w:hanging="360"/>
      </w:pPr>
      <w:rPr>
        <w:rFonts w:ascii="Wingdings" w:hAnsi="Wingdings" w:hint="default"/>
      </w:rPr>
    </w:lvl>
  </w:abstractNum>
  <w:abstractNum w:abstractNumId="8" w15:restartNumberingAfterBreak="0">
    <w:nsid w:val="1B0E0C01"/>
    <w:multiLevelType w:val="hybridMultilevel"/>
    <w:tmpl w:val="C3C2686A"/>
    <w:lvl w:ilvl="0" w:tplc="3C3EA92E">
      <w:start w:val="27"/>
      <w:numFmt w:val="bullet"/>
      <w:lvlText w:val=""/>
      <w:lvlJc w:val="left"/>
      <w:pPr>
        <w:ind w:left="720" w:hanging="360"/>
      </w:pPr>
      <w:rPr>
        <w:rFonts w:ascii="Symbol" w:eastAsia="Times New Roman" w:hAnsi="Symbol" w:hint="default"/>
      </w:rPr>
    </w:lvl>
    <w:lvl w:ilvl="1" w:tplc="B31A8988" w:tentative="1">
      <w:start w:val="1"/>
      <w:numFmt w:val="bullet"/>
      <w:lvlText w:val="o"/>
      <w:lvlJc w:val="left"/>
      <w:pPr>
        <w:ind w:left="1440" w:hanging="360"/>
      </w:pPr>
      <w:rPr>
        <w:rFonts w:ascii="Courier New" w:hAnsi="Courier New" w:hint="default"/>
      </w:rPr>
    </w:lvl>
    <w:lvl w:ilvl="2" w:tplc="D07CC920" w:tentative="1">
      <w:start w:val="1"/>
      <w:numFmt w:val="bullet"/>
      <w:lvlText w:val=""/>
      <w:lvlJc w:val="left"/>
      <w:pPr>
        <w:ind w:left="2160" w:hanging="360"/>
      </w:pPr>
      <w:rPr>
        <w:rFonts w:ascii="Wingdings" w:hAnsi="Wingdings" w:hint="default"/>
      </w:rPr>
    </w:lvl>
    <w:lvl w:ilvl="3" w:tplc="48F664A6" w:tentative="1">
      <w:start w:val="1"/>
      <w:numFmt w:val="bullet"/>
      <w:lvlText w:val=""/>
      <w:lvlJc w:val="left"/>
      <w:pPr>
        <w:ind w:left="2880" w:hanging="360"/>
      </w:pPr>
      <w:rPr>
        <w:rFonts w:ascii="Symbol" w:hAnsi="Symbol" w:hint="default"/>
      </w:rPr>
    </w:lvl>
    <w:lvl w:ilvl="4" w:tplc="96605C34" w:tentative="1">
      <w:start w:val="1"/>
      <w:numFmt w:val="bullet"/>
      <w:lvlText w:val="o"/>
      <w:lvlJc w:val="left"/>
      <w:pPr>
        <w:ind w:left="3600" w:hanging="360"/>
      </w:pPr>
      <w:rPr>
        <w:rFonts w:ascii="Courier New" w:hAnsi="Courier New" w:hint="default"/>
      </w:rPr>
    </w:lvl>
    <w:lvl w:ilvl="5" w:tplc="A8BE01DC" w:tentative="1">
      <w:start w:val="1"/>
      <w:numFmt w:val="bullet"/>
      <w:lvlText w:val=""/>
      <w:lvlJc w:val="left"/>
      <w:pPr>
        <w:ind w:left="4320" w:hanging="360"/>
      </w:pPr>
      <w:rPr>
        <w:rFonts w:ascii="Wingdings" w:hAnsi="Wingdings" w:hint="default"/>
      </w:rPr>
    </w:lvl>
    <w:lvl w:ilvl="6" w:tplc="CFA2323A" w:tentative="1">
      <w:start w:val="1"/>
      <w:numFmt w:val="bullet"/>
      <w:lvlText w:val=""/>
      <w:lvlJc w:val="left"/>
      <w:pPr>
        <w:ind w:left="5040" w:hanging="360"/>
      </w:pPr>
      <w:rPr>
        <w:rFonts w:ascii="Symbol" w:hAnsi="Symbol" w:hint="default"/>
      </w:rPr>
    </w:lvl>
    <w:lvl w:ilvl="7" w:tplc="66D0BD14" w:tentative="1">
      <w:start w:val="1"/>
      <w:numFmt w:val="bullet"/>
      <w:lvlText w:val="o"/>
      <w:lvlJc w:val="left"/>
      <w:pPr>
        <w:ind w:left="5760" w:hanging="360"/>
      </w:pPr>
      <w:rPr>
        <w:rFonts w:ascii="Courier New" w:hAnsi="Courier New" w:hint="default"/>
      </w:rPr>
    </w:lvl>
    <w:lvl w:ilvl="8" w:tplc="3F145F4E" w:tentative="1">
      <w:start w:val="1"/>
      <w:numFmt w:val="bullet"/>
      <w:lvlText w:val=""/>
      <w:lvlJc w:val="left"/>
      <w:pPr>
        <w:ind w:left="6480" w:hanging="360"/>
      </w:pPr>
      <w:rPr>
        <w:rFonts w:ascii="Wingdings" w:hAnsi="Wingdings" w:hint="default"/>
      </w:rPr>
    </w:lvl>
  </w:abstractNum>
  <w:abstractNum w:abstractNumId="9" w15:restartNumberingAfterBreak="0">
    <w:nsid w:val="1C884339"/>
    <w:multiLevelType w:val="hybridMultilevel"/>
    <w:tmpl w:val="4C20D44E"/>
    <w:lvl w:ilvl="0" w:tplc="CBF280E4">
      <w:numFmt w:val="bullet"/>
      <w:lvlText w:val="·"/>
      <w:lvlJc w:val="left"/>
      <w:pPr>
        <w:ind w:left="1080" w:hanging="360"/>
      </w:pPr>
      <w:rPr>
        <w:rFonts w:ascii="Arial" w:eastAsia="Times New Roman" w:hAnsi="Arial" w:hint="default"/>
      </w:rPr>
    </w:lvl>
    <w:lvl w:ilvl="1" w:tplc="31A6F7BC" w:tentative="1">
      <w:start w:val="1"/>
      <w:numFmt w:val="bullet"/>
      <w:lvlText w:val="o"/>
      <w:lvlJc w:val="left"/>
      <w:pPr>
        <w:ind w:left="1800" w:hanging="360"/>
      </w:pPr>
      <w:rPr>
        <w:rFonts w:ascii="Courier New" w:hAnsi="Courier New" w:hint="default"/>
      </w:rPr>
    </w:lvl>
    <w:lvl w:ilvl="2" w:tplc="B0D46846" w:tentative="1">
      <w:start w:val="1"/>
      <w:numFmt w:val="bullet"/>
      <w:lvlText w:val=""/>
      <w:lvlJc w:val="left"/>
      <w:pPr>
        <w:ind w:left="2520" w:hanging="360"/>
      </w:pPr>
      <w:rPr>
        <w:rFonts w:ascii="Wingdings" w:hAnsi="Wingdings" w:hint="default"/>
      </w:rPr>
    </w:lvl>
    <w:lvl w:ilvl="3" w:tplc="CB505B80" w:tentative="1">
      <w:start w:val="1"/>
      <w:numFmt w:val="bullet"/>
      <w:lvlText w:val=""/>
      <w:lvlJc w:val="left"/>
      <w:pPr>
        <w:ind w:left="3240" w:hanging="360"/>
      </w:pPr>
      <w:rPr>
        <w:rFonts w:ascii="Symbol" w:hAnsi="Symbol" w:hint="default"/>
      </w:rPr>
    </w:lvl>
    <w:lvl w:ilvl="4" w:tplc="C0A03FA6" w:tentative="1">
      <w:start w:val="1"/>
      <w:numFmt w:val="bullet"/>
      <w:lvlText w:val="o"/>
      <w:lvlJc w:val="left"/>
      <w:pPr>
        <w:ind w:left="3960" w:hanging="360"/>
      </w:pPr>
      <w:rPr>
        <w:rFonts w:ascii="Courier New" w:hAnsi="Courier New" w:hint="default"/>
      </w:rPr>
    </w:lvl>
    <w:lvl w:ilvl="5" w:tplc="287699EA" w:tentative="1">
      <w:start w:val="1"/>
      <w:numFmt w:val="bullet"/>
      <w:lvlText w:val=""/>
      <w:lvlJc w:val="left"/>
      <w:pPr>
        <w:ind w:left="4680" w:hanging="360"/>
      </w:pPr>
      <w:rPr>
        <w:rFonts w:ascii="Wingdings" w:hAnsi="Wingdings" w:hint="default"/>
      </w:rPr>
    </w:lvl>
    <w:lvl w:ilvl="6" w:tplc="2D322B02" w:tentative="1">
      <w:start w:val="1"/>
      <w:numFmt w:val="bullet"/>
      <w:lvlText w:val=""/>
      <w:lvlJc w:val="left"/>
      <w:pPr>
        <w:ind w:left="5400" w:hanging="360"/>
      </w:pPr>
      <w:rPr>
        <w:rFonts w:ascii="Symbol" w:hAnsi="Symbol" w:hint="default"/>
      </w:rPr>
    </w:lvl>
    <w:lvl w:ilvl="7" w:tplc="588E9D64" w:tentative="1">
      <w:start w:val="1"/>
      <w:numFmt w:val="bullet"/>
      <w:lvlText w:val="o"/>
      <w:lvlJc w:val="left"/>
      <w:pPr>
        <w:ind w:left="6120" w:hanging="360"/>
      </w:pPr>
      <w:rPr>
        <w:rFonts w:ascii="Courier New" w:hAnsi="Courier New" w:hint="default"/>
      </w:rPr>
    </w:lvl>
    <w:lvl w:ilvl="8" w:tplc="74C6315A" w:tentative="1">
      <w:start w:val="1"/>
      <w:numFmt w:val="bullet"/>
      <w:lvlText w:val=""/>
      <w:lvlJc w:val="left"/>
      <w:pPr>
        <w:ind w:left="6840" w:hanging="360"/>
      </w:pPr>
      <w:rPr>
        <w:rFonts w:ascii="Wingdings" w:hAnsi="Wingdings" w:hint="default"/>
      </w:rPr>
    </w:lvl>
  </w:abstractNum>
  <w:abstractNum w:abstractNumId="10" w15:restartNumberingAfterBreak="0">
    <w:nsid w:val="1CF65178"/>
    <w:multiLevelType w:val="hybridMultilevel"/>
    <w:tmpl w:val="5FA6D0BA"/>
    <w:lvl w:ilvl="0" w:tplc="1EB0B316">
      <w:start w:val="1"/>
      <w:numFmt w:val="bullet"/>
      <w:lvlText w:val=""/>
      <w:lvlJc w:val="left"/>
      <w:pPr>
        <w:ind w:left="720" w:hanging="360"/>
      </w:pPr>
      <w:rPr>
        <w:rFonts w:ascii="Symbol" w:hAnsi="Symbol" w:hint="default"/>
      </w:rPr>
    </w:lvl>
    <w:lvl w:ilvl="1" w:tplc="F2487AC0" w:tentative="1">
      <w:start w:val="1"/>
      <w:numFmt w:val="bullet"/>
      <w:lvlText w:val="o"/>
      <w:lvlJc w:val="left"/>
      <w:pPr>
        <w:ind w:left="1440" w:hanging="360"/>
      </w:pPr>
      <w:rPr>
        <w:rFonts w:ascii="Courier New" w:hAnsi="Courier New" w:hint="default"/>
      </w:rPr>
    </w:lvl>
    <w:lvl w:ilvl="2" w:tplc="A8DED1F0" w:tentative="1">
      <w:start w:val="1"/>
      <w:numFmt w:val="bullet"/>
      <w:lvlText w:val=""/>
      <w:lvlJc w:val="left"/>
      <w:pPr>
        <w:ind w:left="2160" w:hanging="360"/>
      </w:pPr>
      <w:rPr>
        <w:rFonts w:ascii="Wingdings" w:hAnsi="Wingdings" w:hint="default"/>
      </w:rPr>
    </w:lvl>
    <w:lvl w:ilvl="3" w:tplc="791C9062" w:tentative="1">
      <w:start w:val="1"/>
      <w:numFmt w:val="bullet"/>
      <w:lvlText w:val=""/>
      <w:lvlJc w:val="left"/>
      <w:pPr>
        <w:ind w:left="2880" w:hanging="360"/>
      </w:pPr>
      <w:rPr>
        <w:rFonts w:ascii="Symbol" w:hAnsi="Symbol" w:hint="default"/>
      </w:rPr>
    </w:lvl>
    <w:lvl w:ilvl="4" w:tplc="86DC24F6" w:tentative="1">
      <w:start w:val="1"/>
      <w:numFmt w:val="bullet"/>
      <w:lvlText w:val="o"/>
      <w:lvlJc w:val="left"/>
      <w:pPr>
        <w:ind w:left="3600" w:hanging="360"/>
      </w:pPr>
      <w:rPr>
        <w:rFonts w:ascii="Courier New" w:hAnsi="Courier New" w:hint="default"/>
      </w:rPr>
    </w:lvl>
    <w:lvl w:ilvl="5" w:tplc="7A86FAEA" w:tentative="1">
      <w:start w:val="1"/>
      <w:numFmt w:val="bullet"/>
      <w:lvlText w:val=""/>
      <w:lvlJc w:val="left"/>
      <w:pPr>
        <w:ind w:left="4320" w:hanging="360"/>
      </w:pPr>
      <w:rPr>
        <w:rFonts w:ascii="Wingdings" w:hAnsi="Wingdings" w:hint="default"/>
      </w:rPr>
    </w:lvl>
    <w:lvl w:ilvl="6" w:tplc="ADDC4A14" w:tentative="1">
      <w:start w:val="1"/>
      <w:numFmt w:val="bullet"/>
      <w:lvlText w:val=""/>
      <w:lvlJc w:val="left"/>
      <w:pPr>
        <w:ind w:left="5040" w:hanging="360"/>
      </w:pPr>
      <w:rPr>
        <w:rFonts w:ascii="Symbol" w:hAnsi="Symbol" w:hint="default"/>
      </w:rPr>
    </w:lvl>
    <w:lvl w:ilvl="7" w:tplc="365A732A" w:tentative="1">
      <w:start w:val="1"/>
      <w:numFmt w:val="bullet"/>
      <w:lvlText w:val="o"/>
      <w:lvlJc w:val="left"/>
      <w:pPr>
        <w:ind w:left="5760" w:hanging="360"/>
      </w:pPr>
      <w:rPr>
        <w:rFonts w:ascii="Courier New" w:hAnsi="Courier New" w:hint="default"/>
      </w:rPr>
    </w:lvl>
    <w:lvl w:ilvl="8" w:tplc="8EBAEEE8" w:tentative="1">
      <w:start w:val="1"/>
      <w:numFmt w:val="bullet"/>
      <w:lvlText w:val=""/>
      <w:lvlJc w:val="left"/>
      <w:pPr>
        <w:ind w:left="6480" w:hanging="360"/>
      </w:pPr>
      <w:rPr>
        <w:rFonts w:ascii="Wingdings" w:hAnsi="Wingdings" w:hint="default"/>
      </w:rPr>
    </w:lvl>
  </w:abstractNum>
  <w:abstractNum w:abstractNumId="11" w15:restartNumberingAfterBreak="0">
    <w:nsid w:val="2B7603C9"/>
    <w:multiLevelType w:val="hybridMultilevel"/>
    <w:tmpl w:val="E13404D6"/>
    <w:lvl w:ilvl="0" w:tplc="0838A776">
      <w:start w:val="1"/>
      <w:numFmt w:val="decimal"/>
      <w:lvlText w:val="%1."/>
      <w:lvlJc w:val="left"/>
      <w:pPr>
        <w:ind w:left="644" w:hanging="360"/>
      </w:pPr>
      <w:rPr>
        <w:rFonts w:cs="Times New Roman"/>
      </w:rPr>
    </w:lvl>
    <w:lvl w:ilvl="1" w:tplc="F2985110" w:tentative="1">
      <w:start w:val="1"/>
      <w:numFmt w:val="lowerLetter"/>
      <w:lvlText w:val="%2."/>
      <w:lvlJc w:val="left"/>
      <w:pPr>
        <w:ind w:left="1364" w:hanging="360"/>
      </w:pPr>
      <w:rPr>
        <w:rFonts w:cs="Times New Roman"/>
      </w:rPr>
    </w:lvl>
    <w:lvl w:ilvl="2" w:tplc="3A565D92" w:tentative="1">
      <w:start w:val="1"/>
      <w:numFmt w:val="lowerRoman"/>
      <w:lvlText w:val="%3."/>
      <w:lvlJc w:val="right"/>
      <w:pPr>
        <w:ind w:left="2084" w:hanging="180"/>
      </w:pPr>
      <w:rPr>
        <w:rFonts w:cs="Times New Roman"/>
      </w:rPr>
    </w:lvl>
    <w:lvl w:ilvl="3" w:tplc="20523C4A" w:tentative="1">
      <w:start w:val="1"/>
      <w:numFmt w:val="decimal"/>
      <w:lvlText w:val="%4."/>
      <w:lvlJc w:val="left"/>
      <w:pPr>
        <w:ind w:left="2804" w:hanging="360"/>
      </w:pPr>
      <w:rPr>
        <w:rFonts w:cs="Times New Roman"/>
      </w:rPr>
    </w:lvl>
    <w:lvl w:ilvl="4" w:tplc="4C92F324" w:tentative="1">
      <w:start w:val="1"/>
      <w:numFmt w:val="lowerLetter"/>
      <w:lvlText w:val="%5."/>
      <w:lvlJc w:val="left"/>
      <w:pPr>
        <w:ind w:left="3524" w:hanging="360"/>
      </w:pPr>
      <w:rPr>
        <w:rFonts w:cs="Times New Roman"/>
      </w:rPr>
    </w:lvl>
    <w:lvl w:ilvl="5" w:tplc="75EEB2EA" w:tentative="1">
      <w:start w:val="1"/>
      <w:numFmt w:val="lowerRoman"/>
      <w:lvlText w:val="%6."/>
      <w:lvlJc w:val="right"/>
      <w:pPr>
        <w:ind w:left="4244" w:hanging="180"/>
      </w:pPr>
      <w:rPr>
        <w:rFonts w:cs="Times New Roman"/>
      </w:rPr>
    </w:lvl>
    <w:lvl w:ilvl="6" w:tplc="3E90902E" w:tentative="1">
      <w:start w:val="1"/>
      <w:numFmt w:val="decimal"/>
      <w:lvlText w:val="%7."/>
      <w:lvlJc w:val="left"/>
      <w:pPr>
        <w:ind w:left="4964" w:hanging="360"/>
      </w:pPr>
      <w:rPr>
        <w:rFonts w:cs="Times New Roman"/>
      </w:rPr>
    </w:lvl>
    <w:lvl w:ilvl="7" w:tplc="BA467F2E" w:tentative="1">
      <w:start w:val="1"/>
      <w:numFmt w:val="lowerLetter"/>
      <w:lvlText w:val="%8."/>
      <w:lvlJc w:val="left"/>
      <w:pPr>
        <w:ind w:left="5684" w:hanging="360"/>
      </w:pPr>
      <w:rPr>
        <w:rFonts w:cs="Times New Roman"/>
      </w:rPr>
    </w:lvl>
    <w:lvl w:ilvl="8" w:tplc="A4CE1660" w:tentative="1">
      <w:start w:val="1"/>
      <w:numFmt w:val="lowerRoman"/>
      <w:lvlText w:val="%9."/>
      <w:lvlJc w:val="right"/>
      <w:pPr>
        <w:ind w:left="6404" w:hanging="180"/>
      </w:pPr>
      <w:rPr>
        <w:rFonts w:cs="Times New Roman"/>
      </w:rPr>
    </w:lvl>
  </w:abstractNum>
  <w:abstractNum w:abstractNumId="12" w15:restartNumberingAfterBreak="0">
    <w:nsid w:val="2E0418DF"/>
    <w:multiLevelType w:val="hybridMultilevel"/>
    <w:tmpl w:val="9EDE53C0"/>
    <w:lvl w:ilvl="0" w:tplc="D5F254F2">
      <w:start w:val="4"/>
      <w:numFmt w:val="decimal"/>
      <w:lvlText w:val="%1"/>
      <w:lvlJc w:val="left"/>
      <w:pPr>
        <w:ind w:left="720" w:hanging="360"/>
      </w:pPr>
      <w:rPr>
        <w:rFonts w:cs="Times New Roman" w:hint="default"/>
      </w:rPr>
    </w:lvl>
    <w:lvl w:ilvl="1" w:tplc="2E746E0C" w:tentative="1">
      <w:start w:val="1"/>
      <w:numFmt w:val="lowerLetter"/>
      <w:lvlText w:val="%2."/>
      <w:lvlJc w:val="left"/>
      <w:pPr>
        <w:ind w:left="1440" w:hanging="360"/>
      </w:pPr>
      <w:rPr>
        <w:rFonts w:cs="Times New Roman"/>
      </w:rPr>
    </w:lvl>
    <w:lvl w:ilvl="2" w:tplc="3030FA9E" w:tentative="1">
      <w:start w:val="1"/>
      <w:numFmt w:val="lowerRoman"/>
      <w:lvlText w:val="%3."/>
      <w:lvlJc w:val="right"/>
      <w:pPr>
        <w:ind w:left="2160" w:hanging="180"/>
      </w:pPr>
      <w:rPr>
        <w:rFonts w:cs="Times New Roman"/>
      </w:rPr>
    </w:lvl>
    <w:lvl w:ilvl="3" w:tplc="05FCEDCE" w:tentative="1">
      <w:start w:val="1"/>
      <w:numFmt w:val="decimal"/>
      <w:lvlText w:val="%4."/>
      <w:lvlJc w:val="left"/>
      <w:pPr>
        <w:ind w:left="2880" w:hanging="360"/>
      </w:pPr>
      <w:rPr>
        <w:rFonts w:cs="Times New Roman"/>
      </w:rPr>
    </w:lvl>
    <w:lvl w:ilvl="4" w:tplc="83BE7C1C" w:tentative="1">
      <w:start w:val="1"/>
      <w:numFmt w:val="lowerLetter"/>
      <w:lvlText w:val="%5."/>
      <w:lvlJc w:val="left"/>
      <w:pPr>
        <w:ind w:left="3600" w:hanging="360"/>
      </w:pPr>
      <w:rPr>
        <w:rFonts w:cs="Times New Roman"/>
      </w:rPr>
    </w:lvl>
    <w:lvl w:ilvl="5" w:tplc="9B2A38B6" w:tentative="1">
      <w:start w:val="1"/>
      <w:numFmt w:val="lowerRoman"/>
      <w:lvlText w:val="%6."/>
      <w:lvlJc w:val="right"/>
      <w:pPr>
        <w:ind w:left="4320" w:hanging="180"/>
      </w:pPr>
      <w:rPr>
        <w:rFonts w:cs="Times New Roman"/>
      </w:rPr>
    </w:lvl>
    <w:lvl w:ilvl="6" w:tplc="2B582DFE" w:tentative="1">
      <w:start w:val="1"/>
      <w:numFmt w:val="decimal"/>
      <w:lvlText w:val="%7."/>
      <w:lvlJc w:val="left"/>
      <w:pPr>
        <w:ind w:left="5040" w:hanging="360"/>
      </w:pPr>
      <w:rPr>
        <w:rFonts w:cs="Times New Roman"/>
      </w:rPr>
    </w:lvl>
    <w:lvl w:ilvl="7" w:tplc="ED6C0BC6" w:tentative="1">
      <w:start w:val="1"/>
      <w:numFmt w:val="lowerLetter"/>
      <w:lvlText w:val="%8."/>
      <w:lvlJc w:val="left"/>
      <w:pPr>
        <w:ind w:left="5760" w:hanging="360"/>
      </w:pPr>
      <w:rPr>
        <w:rFonts w:cs="Times New Roman"/>
      </w:rPr>
    </w:lvl>
    <w:lvl w:ilvl="8" w:tplc="E9B0AE0A" w:tentative="1">
      <w:start w:val="1"/>
      <w:numFmt w:val="lowerRoman"/>
      <w:lvlText w:val="%9."/>
      <w:lvlJc w:val="right"/>
      <w:pPr>
        <w:ind w:left="6480" w:hanging="180"/>
      </w:pPr>
      <w:rPr>
        <w:rFonts w:cs="Times New Roman"/>
      </w:rPr>
    </w:lvl>
  </w:abstractNum>
  <w:abstractNum w:abstractNumId="13" w15:restartNumberingAfterBreak="0">
    <w:nsid w:val="30724E37"/>
    <w:multiLevelType w:val="hybridMultilevel"/>
    <w:tmpl w:val="A2DC8116"/>
    <w:lvl w:ilvl="0" w:tplc="330E1AE2">
      <w:start w:val="6"/>
      <w:numFmt w:val="decimal"/>
      <w:lvlText w:val="%1."/>
      <w:lvlJc w:val="left"/>
      <w:pPr>
        <w:ind w:left="720" w:hanging="360"/>
      </w:pPr>
      <w:rPr>
        <w:rFonts w:hint="default"/>
      </w:rPr>
    </w:lvl>
    <w:lvl w:ilvl="1" w:tplc="D21E53A2" w:tentative="1">
      <w:start w:val="1"/>
      <w:numFmt w:val="lowerLetter"/>
      <w:lvlText w:val="%2."/>
      <w:lvlJc w:val="left"/>
      <w:pPr>
        <w:ind w:left="1440" w:hanging="360"/>
      </w:pPr>
    </w:lvl>
    <w:lvl w:ilvl="2" w:tplc="00F881CE" w:tentative="1">
      <w:start w:val="1"/>
      <w:numFmt w:val="lowerRoman"/>
      <w:lvlText w:val="%3."/>
      <w:lvlJc w:val="right"/>
      <w:pPr>
        <w:ind w:left="2160" w:hanging="180"/>
      </w:pPr>
    </w:lvl>
    <w:lvl w:ilvl="3" w:tplc="377AD4D6" w:tentative="1">
      <w:start w:val="1"/>
      <w:numFmt w:val="decimal"/>
      <w:lvlText w:val="%4."/>
      <w:lvlJc w:val="left"/>
      <w:pPr>
        <w:ind w:left="2880" w:hanging="360"/>
      </w:pPr>
    </w:lvl>
    <w:lvl w:ilvl="4" w:tplc="99DAC1FE" w:tentative="1">
      <w:start w:val="1"/>
      <w:numFmt w:val="lowerLetter"/>
      <w:lvlText w:val="%5."/>
      <w:lvlJc w:val="left"/>
      <w:pPr>
        <w:ind w:left="3600" w:hanging="360"/>
      </w:pPr>
    </w:lvl>
    <w:lvl w:ilvl="5" w:tplc="D4463674" w:tentative="1">
      <w:start w:val="1"/>
      <w:numFmt w:val="lowerRoman"/>
      <w:lvlText w:val="%6."/>
      <w:lvlJc w:val="right"/>
      <w:pPr>
        <w:ind w:left="4320" w:hanging="180"/>
      </w:pPr>
    </w:lvl>
    <w:lvl w:ilvl="6" w:tplc="71A43716" w:tentative="1">
      <w:start w:val="1"/>
      <w:numFmt w:val="decimal"/>
      <w:lvlText w:val="%7."/>
      <w:lvlJc w:val="left"/>
      <w:pPr>
        <w:ind w:left="5040" w:hanging="360"/>
      </w:pPr>
    </w:lvl>
    <w:lvl w:ilvl="7" w:tplc="BC827C38" w:tentative="1">
      <w:start w:val="1"/>
      <w:numFmt w:val="lowerLetter"/>
      <w:lvlText w:val="%8."/>
      <w:lvlJc w:val="left"/>
      <w:pPr>
        <w:ind w:left="5760" w:hanging="360"/>
      </w:pPr>
    </w:lvl>
    <w:lvl w:ilvl="8" w:tplc="DE645DCA" w:tentative="1">
      <w:start w:val="1"/>
      <w:numFmt w:val="lowerRoman"/>
      <w:lvlText w:val="%9."/>
      <w:lvlJc w:val="right"/>
      <w:pPr>
        <w:ind w:left="6480" w:hanging="180"/>
      </w:pPr>
    </w:lvl>
  </w:abstractNum>
  <w:abstractNum w:abstractNumId="14" w15:restartNumberingAfterBreak="0">
    <w:nsid w:val="3A02101D"/>
    <w:multiLevelType w:val="hybridMultilevel"/>
    <w:tmpl w:val="61DE1D66"/>
    <w:lvl w:ilvl="0" w:tplc="47C60CE4">
      <w:start w:val="1"/>
      <w:numFmt w:val="decimal"/>
      <w:lvlText w:val="%1."/>
      <w:lvlJc w:val="left"/>
      <w:pPr>
        <w:ind w:left="720" w:hanging="360"/>
      </w:pPr>
      <w:rPr>
        <w:rFonts w:cs="Times New Roman" w:hint="default"/>
      </w:rPr>
    </w:lvl>
    <w:lvl w:ilvl="1" w:tplc="D898EA88" w:tentative="1">
      <w:start w:val="1"/>
      <w:numFmt w:val="lowerLetter"/>
      <w:lvlText w:val="%2."/>
      <w:lvlJc w:val="left"/>
      <w:pPr>
        <w:ind w:left="1440" w:hanging="360"/>
      </w:pPr>
      <w:rPr>
        <w:rFonts w:cs="Times New Roman"/>
      </w:rPr>
    </w:lvl>
    <w:lvl w:ilvl="2" w:tplc="01347E6C" w:tentative="1">
      <w:start w:val="1"/>
      <w:numFmt w:val="lowerRoman"/>
      <w:lvlText w:val="%3."/>
      <w:lvlJc w:val="right"/>
      <w:pPr>
        <w:ind w:left="2160" w:hanging="180"/>
      </w:pPr>
      <w:rPr>
        <w:rFonts w:cs="Times New Roman"/>
      </w:rPr>
    </w:lvl>
    <w:lvl w:ilvl="3" w:tplc="5186D640" w:tentative="1">
      <w:start w:val="1"/>
      <w:numFmt w:val="decimal"/>
      <w:lvlText w:val="%4."/>
      <w:lvlJc w:val="left"/>
      <w:pPr>
        <w:ind w:left="2880" w:hanging="360"/>
      </w:pPr>
      <w:rPr>
        <w:rFonts w:cs="Times New Roman"/>
      </w:rPr>
    </w:lvl>
    <w:lvl w:ilvl="4" w:tplc="E60848CC" w:tentative="1">
      <w:start w:val="1"/>
      <w:numFmt w:val="lowerLetter"/>
      <w:lvlText w:val="%5."/>
      <w:lvlJc w:val="left"/>
      <w:pPr>
        <w:ind w:left="3600" w:hanging="360"/>
      </w:pPr>
      <w:rPr>
        <w:rFonts w:cs="Times New Roman"/>
      </w:rPr>
    </w:lvl>
    <w:lvl w:ilvl="5" w:tplc="48182BD8" w:tentative="1">
      <w:start w:val="1"/>
      <w:numFmt w:val="lowerRoman"/>
      <w:lvlText w:val="%6."/>
      <w:lvlJc w:val="right"/>
      <w:pPr>
        <w:ind w:left="4320" w:hanging="180"/>
      </w:pPr>
      <w:rPr>
        <w:rFonts w:cs="Times New Roman"/>
      </w:rPr>
    </w:lvl>
    <w:lvl w:ilvl="6" w:tplc="692C28EC" w:tentative="1">
      <w:start w:val="1"/>
      <w:numFmt w:val="decimal"/>
      <w:lvlText w:val="%7."/>
      <w:lvlJc w:val="left"/>
      <w:pPr>
        <w:ind w:left="5040" w:hanging="360"/>
      </w:pPr>
      <w:rPr>
        <w:rFonts w:cs="Times New Roman"/>
      </w:rPr>
    </w:lvl>
    <w:lvl w:ilvl="7" w:tplc="700E5FD0" w:tentative="1">
      <w:start w:val="1"/>
      <w:numFmt w:val="lowerLetter"/>
      <w:lvlText w:val="%8."/>
      <w:lvlJc w:val="left"/>
      <w:pPr>
        <w:ind w:left="5760" w:hanging="360"/>
      </w:pPr>
      <w:rPr>
        <w:rFonts w:cs="Times New Roman"/>
      </w:rPr>
    </w:lvl>
    <w:lvl w:ilvl="8" w:tplc="1B1C5630" w:tentative="1">
      <w:start w:val="1"/>
      <w:numFmt w:val="lowerRoman"/>
      <w:lvlText w:val="%9."/>
      <w:lvlJc w:val="right"/>
      <w:pPr>
        <w:ind w:left="6480" w:hanging="180"/>
      </w:pPr>
      <w:rPr>
        <w:rFonts w:cs="Times New Roman"/>
      </w:rPr>
    </w:lvl>
  </w:abstractNum>
  <w:abstractNum w:abstractNumId="15" w15:restartNumberingAfterBreak="0">
    <w:nsid w:val="3DDF4CAA"/>
    <w:multiLevelType w:val="hybridMultilevel"/>
    <w:tmpl w:val="A1108C2C"/>
    <w:lvl w:ilvl="0" w:tplc="37368478">
      <w:start w:val="5"/>
      <w:numFmt w:val="decimal"/>
      <w:lvlText w:val="%1."/>
      <w:lvlJc w:val="left"/>
      <w:pPr>
        <w:ind w:left="502" w:hanging="360"/>
      </w:pPr>
      <w:rPr>
        <w:rFonts w:cs="Times New Roman" w:hint="default"/>
      </w:rPr>
    </w:lvl>
    <w:lvl w:ilvl="1" w:tplc="7D9C5D98" w:tentative="1">
      <w:start w:val="1"/>
      <w:numFmt w:val="lowerLetter"/>
      <w:lvlText w:val="%2."/>
      <w:lvlJc w:val="left"/>
      <w:pPr>
        <w:ind w:left="1222" w:hanging="360"/>
      </w:pPr>
      <w:rPr>
        <w:rFonts w:cs="Times New Roman"/>
      </w:rPr>
    </w:lvl>
    <w:lvl w:ilvl="2" w:tplc="ECD40546" w:tentative="1">
      <w:start w:val="1"/>
      <w:numFmt w:val="lowerRoman"/>
      <w:lvlText w:val="%3."/>
      <w:lvlJc w:val="right"/>
      <w:pPr>
        <w:ind w:left="1942" w:hanging="180"/>
      </w:pPr>
      <w:rPr>
        <w:rFonts w:cs="Times New Roman"/>
      </w:rPr>
    </w:lvl>
    <w:lvl w:ilvl="3" w:tplc="C1CE7542" w:tentative="1">
      <w:start w:val="1"/>
      <w:numFmt w:val="decimal"/>
      <w:lvlText w:val="%4."/>
      <w:lvlJc w:val="left"/>
      <w:pPr>
        <w:ind w:left="2662" w:hanging="360"/>
      </w:pPr>
      <w:rPr>
        <w:rFonts w:cs="Times New Roman"/>
      </w:rPr>
    </w:lvl>
    <w:lvl w:ilvl="4" w:tplc="F0C684F8" w:tentative="1">
      <w:start w:val="1"/>
      <w:numFmt w:val="lowerLetter"/>
      <w:lvlText w:val="%5."/>
      <w:lvlJc w:val="left"/>
      <w:pPr>
        <w:ind w:left="3382" w:hanging="360"/>
      </w:pPr>
      <w:rPr>
        <w:rFonts w:cs="Times New Roman"/>
      </w:rPr>
    </w:lvl>
    <w:lvl w:ilvl="5" w:tplc="9DCE99C2" w:tentative="1">
      <w:start w:val="1"/>
      <w:numFmt w:val="lowerRoman"/>
      <w:lvlText w:val="%6."/>
      <w:lvlJc w:val="right"/>
      <w:pPr>
        <w:ind w:left="4102" w:hanging="180"/>
      </w:pPr>
      <w:rPr>
        <w:rFonts w:cs="Times New Roman"/>
      </w:rPr>
    </w:lvl>
    <w:lvl w:ilvl="6" w:tplc="509E0E5E" w:tentative="1">
      <w:start w:val="1"/>
      <w:numFmt w:val="decimal"/>
      <w:lvlText w:val="%7."/>
      <w:lvlJc w:val="left"/>
      <w:pPr>
        <w:ind w:left="4822" w:hanging="360"/>
      </w:pPr>
      <w:rPr>
        <w:rFonts w:cs="Times New Roman"/>
      </w:rPr>
    </w:lvl>
    <w:lvl w:ilvl="7" w:tplc="86DE993A" w:tentative="1">
      <w:start w:val="1"/>
      <w:numFmt w:val="lowerLetter"/>
      <w:lvlText w:val="%8."/>
      <w:lvlJc w:val="left"/>
      <w:pPr>
        <w:ind w:left="5542" w:hanging="360"/>
      </w:pPr>
      <w:rPr>
        <w:rFonts w:cs="Times New Roman"/>
      </w:rPr>
    </w:lvl>
    <w:lvl w:ilvl="8" w:tplc="BCCEB792" w:tentative="1">
      <w:start w:val="1"/>
      <w:numFmt w:val="lowerRoman"/>
      <w:lvlText w:val="%9."/>
      <w:lvlJc w:val="right"/>
      <w:pPr>
        <w:ind w:left="6262" w:hanging="180"/>
      </w:pPr>
      <w:rPr>
        <w:rFonts w:cs="Times New Roman"/>
      </w:rPr>
    </w:lvl>
  </w:abstractNum>
  <w:abstractNum w:abstractNumId="16" w15:restartNumberingAfterBreak="0">
    <w:nsid w:val="44146692"/>
    <w:multiLevelType w:val="hybridMultilevel"/>
    <w:tmpl w:val="6BE23300"/>
    <w:lvl w:ilvl="0" w:tplc="E8F0C9AA">
      <w:start w:val="1"/>
      <w:numFmt w:val="decimal"/>
      <w:lvlText w:val="%1."/>
      <w:lvlJc w:val="left"/>
      <w:pPr>
        <w:tabs>
          <w:tab w:val="num" w:pos="360"/>
        </w:tabs>
        <w:ind w:left="360" w:hanging="360"/>
      </w:pPr>
      <w:rPr>
        <w:rFonts w:cs="Times New Roman"/>
      </w:rPr>
    </w:lvl>
    <w:lvl w:ilvl="1" w:tplc="14B47D44" w:tentative="1">
      <w:start w:val="1"/>
      <w:numFmt w:val="lowerLetter"/>
      <w:lvlText w:val="%2."/>
      <w:lvlJc w:val="left"/>
      <w:pPr>
        <w:tabs>
          <w:tab w:val="num" w:pos="1080"/>
        </w:tabs>
        <w:ind w:left="1080" w:hanging="360"/>
      </w:pPr>
      <w:rPr>
        <w:rFonts w:cs="Times New Roman"/>
      </w:rPr>
    </w:lvl>
    <w:lvl w:ilvl="2" w:tplc="26AE2F5A" w:tentative="1">
      <w:start w:val="1"/>
      <w:numFmt w:val="lowerRoman"/>
      <w:lvlText w:val="%3."/>
      <w:lvlJc w:val="right"/>
      <w:pPr>
        <w:tabs>
          <w:tab w:val="num" w:pos="1800"/>
        </w:tabs>
        <w:ind w:left="1800" w:hanging="180"/>
      </w:pPr>
      <w:rPr>
        <w:rFonts w:cs="Times New Roman"/>
      </w:rPr>
    </w:lvl>
    <w:lvl w:ilvl="3" w:tplc="12D4B47A" w:tentative="1">
      <w:start w:val="1"/>
      <w:numFmt w:val="decimal"/>
      <w:lvlText w:val="%4."/>
      <w:lvlJc w:val="left"/>
      <w:pPr>
        <w:tabs>
          <w:tab w:val="num" w:pos="2520"/>
        </w:tabs>
        <w:ind w:left="2520" w:hanging="360"/>
      </w:pPr>
      <w:rPr>
        <w:rFonts w:cs="Times New Roman"/>
      </w:rPr>
    </w:lvl>
    <w:lvl w:ilvl="4" w:tplc="2DE284BA" w:tentative="1">
      <w:start w:val="1"/>
      <w:numFmt w:val="lowerLetter"/>
      <w:lvlText w:val="%5."/>
      <w:lvlJc w:val="left"/>
      <w:pPr>
        <w:tabs>
          <w:tab w:val="num" w:pos="3240"/>
        </w:tabs>
        <w:ind w:left="3240" w:hanging="360"/>
      </w:pPr>
      <w:rPr>
        <w:rFonts w:cs="Times New Roman"/>
      </w:rPr>
    </w:lvl>
    <w:lvl w:ilvl="5" w:tplc="65560058" w:tentative="1">
      <w:start w:val="1"/>
      <w:numFmt w:val="lowerRoman"/>
      <w:lvlText w:val="%6."/>
      <w:lvlJc w:val="right"/>
      <w:pPr>
        <w:tabs>
          <w:tab w:val="num" w:pos="3960"/>
        </w:tabs>
        <w:ind w:left="3960" w:hanging="180"/>
      </w:pPr>
      <w:rPr>
        <w:rFonts w:cs="Times New Roman"/>
      </w:rPr>
    </w:lvl>
    <w:lvl w:ilvl="6" w:tplc="8FE02B14" w:tentative="1">
      <w:start w:val="1"/>
      <w:numFmt w:val="decimal"/>
      <w:lvlText w:val="%7."/>
      <w:lvlJc w:val="left"/>
      <w:pPr>
        <w:tabs>
          <w:tab w:val="num" w:pos="4680"/>
        </w:tabs>
        <w:ind w:left="4680" w:hanging="360"/>
      </w:pPr>
      <w:rPr>
        <w:rFonts w:cs="Times New Roman"/>
      </w:rPr>
    </w:lvl>
    <w:lvl w:ilvl="7" w:tplc="E9C23D8A" w:tentative="1">
      <w:start w:val="1"/>
      <w:numFmt w:val="lowerLetter"/>
      <w:lvlText w:val="%8."/>
      <w:lvlJc w:val="left"/>
      <w:pPr>
        <w:tabs>
          <w:tab w:val="num" w:pos="5400"/>
        </w:tabs>
        <w:ind w:left="5400" w:hanging="360"/>
      </w:pPr>
      <w:rPr>
        <w:rFonts w:cs="Times New Roman"/>
      </w:rPr>
    </w:lvl>
    <w:lvl w:ilvl="8" w:tplc="49C0D280" w:tentative="1">
      <w:start w:val="1"/>
      <w:numFmt w:val="lowerRoman"/>
      <w:lvlText w:val="%9."/>
      <w:lvlJc w:val="right"/>
      <w:pPr>
        <w:tabs>
          <w:tab w:val="num" w:pos="6120"/>
        </w:tabs>
        <w:ind w:left="6120" w:hanging="180"/>
      </w:pPr>
      <w:rPr>
        <w:rFonts w:cs="Times New Roman"/>
      </w:rPr>
    </w:lvl>
  </w:abstractNum>
  <w:abstractNum w:abstractNumId="17" w15:restartNumberingAfterBreak="0">
    <w:nsid w:val="46AD1FF2"/>
    <w:multiLevelType w:val="hybridMultilevel"/>
    <w:tmpl w:val="69706940"/>
    <w:lvl w:ilvl="0" w:tplc="A0DEEC08">
      <w:start w:val="1"/>
      <w:numFmt w:val="bullet"/>
      <w:lvlText w:val=""/>
      <w:lvlJc w:val="left"/>
      <w:pPr>
        <w:ind w:left="720" w:hanging="360"/>
      </w:pPr>
      <w:rPr>
        <w:rFonts w:ascii="Symbol" w:hAnsi="Symbol" w:hint="default"/>
      </w:rPr>
    </w:lvl>
    <w:lvl w:ilvl="1" w:tplc="79180DEE" w:tentative="1">
      <w:start w:val="1"/>
      <w:numFmt w:val="bullet"/>
      <w:lvlText w:val="o"/>
      <w:lvlJc w:val="left"/>
      <w:pPr>
        <w:ind w:left="1440" w:hanging="360"/>
      </w:pPr>
      <w:rPr>
        <w:rFonts w:ascii="Courier New" w:hAnsi="Courier New" w:hint="default"/>
      </w:rPr>
    </w:lvl>
    <w:lvl w:ilvl="2" w:tplc="A7A634D0" w:tentative="1">
      <w:start w:val="1"/>
      <w:numFmt w:val="bullet"/>
      <w:lvlText w:val=""/>
      <w:lvlJc w:val="left"/>
      <w:pPr>
        <w:ind w:left="2160" w:hanging="360"/>
      </w:pPr>
      <w:rPr>
        <w:rFonts w:ascii="Wingdings" w:hAnsi="Wingdings" w:hint="default"/>
      </w:rPr>
    </w:lvl>
    <w:lvl w:ilvl="3" w:tplc="793A198C" w:tentative="1">
      <w:start w:val="1"/>
      <w:numFmt w:val="bullet"/>
      <w:lvlText w:val=""/>
      <w:lvlJc w:val="left"/>
      <w:pPr>
        <w:ind w:left="2880" w:hanging="360"/>
      </w:pPr>
      <w:rPr>
        <w:rFonts w:ascii="Symbol" w:hAnsi="Symbol" w:hint="default"/>
      </w:rPr>
    </w:lvl>
    <w:lvl w:ilvl="4" w:tplc="95986388" w:tentative="1">
      <w:start w:val="1"/>
      <w:numFmt w:val="bullet"/>
      <w:lvlText w:val="o"/>
      <w:lvlJc w:val="left"/>
      <w:pPr>
        <w:ind w:left="3600" w:hanging="360"/>
      </w:pPr>
      <w:rPr>
        <w:rFonts w:ascii="Courier New" w:hAnsi="Courier New" w:hint="default"/>
      </w:rPr>
    </w:lvl>
    <w:lvl w:ilvl="5" w:tplc="E3B40E5A" w:tentative="1">
      <w:start w:val="1"/>
      <w:numFmt w:val="bullet"/>
      <w:lvlText w:val=""/>
      <w:lvlJc w:val="left"/>
      <w:pPr>
        <w:ind w:left="4320" w:hanging="360"/>
      </w:pPr>
      <w:rPr>
        <w:rFonts w:ascii="Wingdings" w:hAnsi="Wingdings" w:hint="default"/>
      </w:rPr>
    </w:lvl>
    <w:lvl w:ilvl="6" w:tplc="D6086EA2" w:tentative="1">
      <w:start w:val="1"/>
      <w:numFmt w:val="bullet"/>
      <w:lvlText w:val=""/>
      <w:lvlJc w:val="left"/>
      <w:pPr>
        <w:ind w:left="5040" w:hanging="360"/>
      </w:pPr>
      <w:rPr>
        <w:rFonts w:ascii="Symbol" w:hAnsi="Symbol" w:hint="default"/>
      </w:rPr>
    </w:lvl>
    <w:lvl w:ilvl="7" w:tplc="A60203D6" w:tentative="1">
      <w:start w:val="1"/>
      <w:numFmt w:val="bullet"/>
      <w:lvlText w:val="o"/>
      <w:lvlJc w:val="left"/>
      <w:pPr>
        <w:ind w:left="5760" w:hanging="360"/>
      </w:pPr>
      <w:rPr>
        <w:rFonts w:ascii="Courier New" w:hAnsi="Courier New" w:hint="default"/>
      </w:rPr>
    </w:lvl>
    <w:lvl w:ilvl="8" w:tplc="65700192" w:tentative="1">
      <w:start w:val="1"/>
      <w:numFmt w:val="bullet"/>
      <w:lvlText w:val=""/>
      <w:lvlJc w:val="left"/>
      <w:pPr>
        <w:ind w:left="6480" w:hanging="360"/>
      </w:pPr>
      <w:rPr>
        <w:rFonts w:ascii="Wingdings" w:hAnsi="Wingdings" w:hint="default"/>
      </w:rPr>
    </w:lvl>
  </w:abstractNum>
  <w:abstractNum w:abstractNumId="18" w15:restartNumberingAfterBreak="0">
    <w:nsid w:val="48B74C67"/>
    <w:multiLevelType w:val="singleLevel"/>
    <w:tmpl w:val="55A8656E"/>
    <w:lvl w:ilvl="0">
      <w:start w:val="1"/>
      <w:numFmt w:val="decimal"/>
      <w:lvlText w:val="%1."/>
      <w:lvlJc w:val="left"/>
      <w:pPr>
        <w:tabs>
          <w:tab w:val="num" w:pos="720"/>
        </w:tabs>
        <w:ind w:left="720" w:hanging="720"/>
      </w:pPr>
      <w:rPr>
        <w:rFonts w:cs="Times New Roman"/>
      </w:rPr>
    </w:lvl>
  </w:abstractNum>
  <w:abstractNum w:abstractNumId="19" w15:restartNumberingAfterBreak="0">
    <w:nsid w:val="494B0899"/>
    <w:multiLevelType w:val="hybridMultilevel"/>
    <w:tmpl w:val="D3702A3A"/>
    <w:lvl w:ilvl="0" w:tplc="12F0D462">
      <w:numFmt w:val="bullet"/>
      <w:lvlText w:val="-"/>
      <w:lvlJc w:val="left"/>
      <w:pPr>
        <w:tabs>
          <w:tab w:val="num" w:pos="720"/>
        </w:tabs>
        <w:ind w:left="720" w:hanging="360"/>
      </w:pPr>
      <w:rPr>
        <w:rFonts w:ascii="Arial" w:eastAsia="Times New Roman" w:hAnsi="Arial" w:hint="default"/>
      </w:rPr>
    </w:lvl>
    <w:lvl w:ilvl="1" w:tplc="614E4540" w:tentative="1">
      <w:start w:val="1"/>
      <w:numFmt w:val="bullet"/>
      <w:lvlText w:val="o"/>
      <w:lvlJc w:val="left"/>
      <w:pPr>
        <w:tabs>
          <w:tab w:val="num" w:pos="1440"/>
        </w:tabs>
        <w:ind w:left="1440" w:hanging="360"/>
      </w:pPr>
      <w:rPr>
        <w:rFonts w:ascii="Courier New" w:hAnsi="Courier New" w:hint="default"/>
      </w:rPr>
    </w:lvl>
    <w:lvl w:ilvl="2" w:tplc="1EC85C28" w:tentative="1">
      <w:start w:val="1"/>
      <w:numFmt w:val="bullet"/>
      <w:lvlText w:val=""/>
      <w:lvlJc w:val="left"/>
      <w:pPr>
        <w:tabs>
          <w:tab w:val="num" w:pos="2160"/>
        </w:tabs>
        <w:ind w:left="2160" w:hanging="360"/>
      </w:pPr>
      <w:rPr>
        <w:rFonts w:ascii="Wingdings" w:hAnsi="Wingdings" w:hint="default"/>
      </w:rPr>
    </w:lvl>
    <w:lvl w:ilvl="3" w:tplc="D81E82CC" w:tentative="1">
      <w:start w:val="1"/>
      <w:numFmt w:val="bullet"/>
      <w:lvlText w:val=""/>
      <w:lvlJc w:val="left"/>
      <w:pPr>
        <w:tabs>
          <w:tab w:val="num" w:pos="2880"/>
        </w:tabs>
        <w:ind w:left="2880" w:hanging="360"/>
      </w:pPr>
      <w:rPr>
        <w:rFonts w:ascii="Symbol" w:hAnsi="Symbol" w:hint="default"/>
      </w:rPr>
    </w:lvl>
    <w:lvl w:ilvl="4" w:tplc="6EB0BF34" w:tentative="1">
      <w:start w:val="1"/>
      <w:numFmt w:val="bullet"/>
      <w:lvlText w:val="o"/>
      <w:lvlJc w:val="left"/>
      <w:pPr>
        <w:tabs>
          <w:tab w:val="num" w:pos="3600"/>
        </w:tabs>
        <w:ind w:left="3600" w:hanging="360"/>
      </w:pPr>
      <w:rPr>
        <w:rFonts w:ascii="Courier New" w:hAnsi="Courier New" w:hint="default"/>
      </w:rPr>
    </w:lvl>
    <w:lvl w:ilvl="5" w:tplc="D85AA3C4" w:tentative="1">
      <w:start w:val="1"/>
      <w:numFmt w:val="bullet"/>
      <w:lvlText w:val=""/>
      <w:lvlJc w:val="left"/>
      <w:pPr>
        <w:tabs>
          <w:tab w:val="num" w:pos="4320"/>
        </w:tabs>
        <w:ind w:left="4320" w:hanging="360"/>
      </w:pPr>
      <w:rPr>
        <w:rFonts w:ascii="Wingdings" w:hAnsi="Wingdings" w:hint="default"/>
      </w:rPr>
    </w:lvl>
    <w:lvl w:ilvl="6" w:tplc="25DCAB6E" w:tentative="1">
      <w:start w:val="1"/>
      <w:numFmt w:val="bullet"/>
      <w:lvlText w:val=""/>
      <w:lvlJc w:val="left"/>
      <w:pPr>
        <w:tabs>
          <w:tab w:val="num" w:pos="5040"/>
        </w:tabs>
        <w:ind w:left="5040" w:hanging="360"/>
      </w:pPr>
      <w:rPr>
        <w:rFonts w:ascii="Symbol" w:hAnsi="Symbol" w:hint="default"/>
      </w:rPr>
    </w:lvl>
    <w:lvl w:ilvl="7" w:tplc="30EAC688" w:tentative="1">
      <w:start w:val="1"/>
      <w:numFmt w:val="bullet"/>
      <w:lvlText w:val="o"/>
      <w:lvlJc w:val="left"/>
      <w:pPr>
        <w:tabs>
          <w:tab w:val="num" w:pos="5760"/>
        </w:tabs>
        <w:ind w:left="5760" w:hanging="360"/>
      </w:pPr>
      <w:rPr>
        <w:rFonts w:ascii="Courier New" w:hAnsi="Courier New" w:hint="default"/>
      </w:rPr>
    </w:lvl>
    <w:lvl w:ilvl="8" w:tplc="C14ADF3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175FE3"/>
    <w:multiLevelType w:val="hybridMultilevel"/>
    <w:tmpl w:val="C31ECC9C"/>
    <w:lvl w:ilvl="0" w:tplc="399EB6C4">
      <w:start w:val="1"/>
      <w:numFmt w:val="decimal"/>
      <w:lvlText w:val="%1."/>
      <w:lvlJc w:val="left"/>
      <w:pPr>
        <w:ind w:left="786" w:hanging="360"/>
      </w:pPr>
      <w:rPr>
        <w:rFonts w:cs="Times New Roman" w:hint="default"/>
        <w:b w:val="0"/>
        <w:sz w:val="20"/>
        <w:szCs w:val="20"/>
      </w:rPr>
    </w:lvl>
    <w:lvl w:ilvl="1" w:tplc="0B484C32" w:tentative="1">
      <w:start w:val="1"/>
      <w:numFmt w:val="lowerLetter"/>
      <w:lvlText w:val="%2."/>
      <w:lvlJc w:val="left"/>
      <w:pPr>
        <w:ind w:left="1364" w:hanging="360"/>
      </w:pPr>
      <w:rPr>
        <w:rFonts w:cs="Times New Roman"/>
      </w:rPr>
    </w:lvl>
    <w:lvl w:ilvl="2" w:tplc="72B28ED8" w:tentative="1">
      <w:start w:val="1"/>
      <w:numFmt w:val="lowerRoman"/>
      <w:lvlText w:val="%3."/>
      <w:lvlJc w:val="right"/>
      <w:pPr>
        <w:ind w:left="2084" w:hanging="180"/>
      </w:pPr>
      <w:rPr>
        <w:rFonts w:cs="Times New Roman"/>
      </w:rPr>
    </w:lvl>
    <w:lvl w:ilvl="3" w:tplc="971EE2AA" w:tentative="1">
      <w:start w:val="1"/>
      <w:numFmt w:val="decimal"/>
      <w:lvlText w:val="%4."/>
      <w:lvlJc w:val="left"/>
      <w:pPr>
        <w:ind w:left="2804" w:hanging="360"/>
      </w:pPr>
      <w:rPr>
        <w:rFonts w:cs="Times New Roman"/>
      </w:rPr>
    </w:lvl>
    <w:lvl w:ilvl="4" w:tplc="2B9EBE82" w:tentative="1">
      <w:start w:val="1"/>
      <w:numFmt w:val="lowerLetter"/>
      <w:lvlText w:val="%5."/>
      <w:lvlJc w:val="left"/>
      <w:pPr>
        <w:ind w:left="3524" w:hanging="360"/>
      </w:pPr>
      <w:rPr>
        <w:rFonts w:cs="Times New Roman"/>
      </w:rPr>
    </w:lvl>
    <w:lvl w:ilvl="5" w:tplc="0E4E4BEE" w:tentative="1">
      <w:start w:val="1"/>
      <w:numFmt w:val="lowerRoman"/>
      <w:lvlText w:val="%6."/>
      <w:lvlJc w:val="right"/>
      <w:pPr>
        <w:ind w:left="4244" w:hanging="180"/>
      </w:pPr>
      <w:rPr>
        <w:rFonts w:cs="Times New Roman"/>
      </w:rPr>
    </w:lvl>
    <w:lvl w:ilvl="6" w:tplc="54C8F8D0" w:tentative="1">
      <w:start w:val="1"/>
      <w:numFmt w:val="decimal"/>
      <w:lvlText w:val="%7."/>
      <w:lvlJc w:val="left"/>
      <w:pPr>
        <w:ind w:left="4964" w:hanging="360"/>
      </w:pPr>
      <w:rPr>
        <w:rFonts w:cs="Times New Roman"/>
      </w:rPr>
    </w:lvl>
    <w:lvl w:ilvl="7" w:tplc="FAAC6500" w:tentative="1">
      <w:start w:val="1"/>
      <w:numFmt w:val="lowerLetter"/>
      <w:lvlText w:val="%8."/>
      <w:lvlJc w:val="left"/>
      <w:pPr>
        <w:ind w:left="5684" w:hanging="360"/>
      </w:pPr>
      <w:rPr>
        <w:rFonts w:cs="Times New Roman"/>
      </w:rPr>
    </w:lvl>
    <w:lvl w:ilvl="8" w:tplc="2024741C" w:tentative="1">
      <w:start w:val="1"/>
      <w:numFmt w:val="lowerRoman"/>
      <w:lvlText w:val="%9."/>
      <w:lvlJc w:val="right"/>
      <w:pPr>
        <w:ind w:left="6404" w:hanging="180"/>
      </w:pPr>
      <w:rPr>
        <w:rFonts w:cs="Times New Roman"/>
      </w:rPr>
    </w:lvl>
  </w:abstractNum>
  <w:abstractNum w:abstractNumId="21" w15:restartNumberingAfterBreak="0">
    <w:nsid w:val="559F0CD8"/>
    <w:multiLevelType w:val="hybridMultilevel"/>
    <w:tmpl w:val="BCA22080"/>
    <w:lvl w:ilvl="0" w:tplc="DD107032">
      <w:start w:val="1"/>
      <w:numFmt w:val="bullet"/>
      <w:lvlText w:val=""/>
      <w:lvlJc w:val="left"/>
      <w:pPr>
        <w:ind w:left="720" w:hanging="360"/>
      </w:pPr>
      <w:rPr>
        <w:rFonts w:ascii="Symbol" w:hAnsi="Symbol" w:hint="default"/>
      </w:rPr>
    </w:lvl>
    <w:lvl w:ilvl="1" w:tplc="C11CDA10" w:tentative="1">
      <w:start w:val="1"/>
      <w:numFmt w:val="bullet"/>
      <w:lvlText w:val="o"/>
      <w:lvlJc w:val="left"/>
      <w:pPr>
        <w:ind w:left="1440" w:hanging="360"/>
      </w:pPr>
      <w:rPr>
        <w:rFonts w:ascii="Courier New" w:hAnsi="Courier New" w:hint="default"/>
      </w:rPr>
    </w:lvl>
    <w:lvl w:ilvl="2" w:tplc="3F3A13F2" w:tentative="1">
      <w:start w:val="1"/>
      <w:numFmt w:val="bullet"/>
      <w:lvlText w:val=""/>
      <w:lvlJc w:val="left"/>
      <w:pPr>
        <w:ind w:left="2160" w:hanging="360"/>
      </w:pPr>
      <w:rPr>
        <w:rFonts w:ascii="Wingdings" w:hAnsi="Wingdings" w:hint="default"/>
      </w:rPr>
    </w:lvl>
    <w:lvl w:ilvl="3" w:tplc="7D34C296" w:tentative="1">
      <w:start w:val="1"/>
      <w:numFmt w:val="bullet"/>
      <w:lvlText w:val=""/>
      <w:lvlJc w:val="left"/>
      <w:pPr>
        <w:ind w:left="2880" w:hanging="360"/>
      </w:pPr>
      <w:rPr>
        <w:rFonts w:ascii="Symbol" w:hAnsi="Symbol" w:hint="default"/>
      </w:rPr>
    </w:lvl>
    <w:lvl w:ilvl="4" w:tplc="A59E4C0E" w:tentative="1">
      <w:start w:val="1"/>
      <w:numFmt w:val="bullet"/>
      <w:lvlText w:val="o"/>
      <w:lvlJc w:val="left"/>
      <w:pPr>
        <w:ind w:left="3600" w:hanging="360"/>
      </w:pPr>
      <w:rPr>
        <w:rFonts w:ascii="Courier New" w:hAnsi="Courier New" w:hint="default"/>
      </w:rPr>
    </w:lvl>
    <w:lvl w:ilvl="5" w:tplc="2892CB4C" w:tentative="1">
      <w:start w:val="1"/>
      <w:numFmt w:val="bullet"/>
      <w:lvlText w:val=""/>
      <w:lvlJc w:val="left"/>
      <w:pPr>
        <w:ind w:left="4320" w:hanging="360"/>
      </w:pPr>
      <w:rPr>
        <w:rFonts w:ascii="Wingdings" w:hAnsi="Wingdings" w:hint="default"/>
      </w:rPr>
    </w:lvl>
    <w:lvl w:ilvl="6" w:tplc="C038A400" w:tentative="1">
      <w:start w:val="1"/>
      <w:numFmt w:val="bullet"/>
      <w:lvlText w:val=""/>
      <w:lvlJc w:val="left"/>
      <w:pPr>
        <w:ind w:left="5040" w:hanging="360"/>
      </w:pPr>
      <w:rPr>
        <w:rFonts w:ascii="Symbol" w:hAnsi="Symbol" w:hint="default"/>
      </w:rPr>
    </w:lvl>
    <w:lvl w:ilvl="7" w:tplc="0CF0B858" w:tentative="1">
      <w:start w:val="1"/>
      <w:numFmt w:val="bullet"/>
      <w:lvlText w:val="o"/>
      <w:lvlJc w:val="left"/>
      <w:pPr>
        <w:ind w:left="5760" w:hanging="360"/>
      </w:pPr>
      <w:rPr>
        <w:rFonts w:ascii="Courier New" w:hAnsi="Courier New" w:hint="default"/>
      </w:rPr>
    </w:lvl>
    <w:lvl w:ilvl="8" w:tplc="8DCE7FC0" w:tentative="1">
      <w:start w:val="1"/>
      <w:numFmt w:val="bullet"/>
      <w:lvlText w:val=""/>
      <w:lvlJc w:val="left"/>
      <w:pPr>
        <w:ind w:left="6480" w:hanging="360"/>
      </w:pPr>
      <w:rPr>
        <w:rFonts w:ascii="Wingdings" w:hAnsi="Wingdings" w:hint="default"/>
      </w:rPr>
    </w:lvl>
  </w:abstractNum>
  <w:abstractNum w:abstractNumId="22" w15:restartNumberingAfterBreak="0">
    <w:nsid w:val="60347E1E"/>
    <w:multiLevelType w:val="hybridMultilevel"/>
    <w:tmpl w:val="277E5594"/>
    <w:lvl w:ilvl="0" w:tplc="EF229AF4">
      <w:start w:val="1"/>
      <w:numFmt w:val="bullet"/>
      <w:lvlText w:val=""/>
      <w:lvlJc w:val="left"/>
      <w:pPr>
        <w:ind w:left="720" w:hanging="360"/>
      </w:pPr>
      <w:rPr>
        <w:rFonts w:ascii="Symbol" w:hAnsi="Symbol" w:hint="default"/>
      </w:rPr>
    </w:lvl>
    <w:lvl w:ilvl="1" w:tplc="18A24A30" w:tentative="1">
      <w:start w:val="1"/>
      <w:numFmt w:val="bullet"/>
      <w:lvlText w:val="o"/>
      <w:lvlJc w:val="left"/>
      <w:pPr>
        <w:ind w:left="1440" w:hanging="360"/>
      </w:pPr>
      <w:rPr>
        <w:rFonts w:ascii="Courier New" w:hAnsi="Courier New" w:hint="default"/>
      </w:rPr>
    </w:lvl>
    <w:lvl w:ilvl="2" w:tplc="AADC2CE2" w:tentative="1">
      <w:start w:val="1"/>
      <w:numFmt w:val="bullet"/>
      <w:lvlText w:val=""/>
      <w:lvlJc w:val="left"/>
      <w:pPr>
        <w:ind w:left="2160" w:hanging="360"/>
      </w:pPr>
      <w:rPr>
        <w:rFonts w:ascii="Wingdings" w:hAnsi="Wingdings" w:hint="default"/>
      </w:rPr>
    </w:lvl>
    <w:lvl w:ilvl="3" w:tplc="24ECF5F2" w:tentative="1">
      <w:start w:val="1"/>
      <w:numFmt w:val="bullet"/>
      <w:lvlText w:val=""/>
      <w:lvlJc w:val="left"/>
      <w:pPr>
        <w:ind w:left="2880" w:hanging="360"/>
      </w:pPr>
      <w:rPr>
        <w:rFonts w:ascii="Symbol" w:hAnsi="Symbol" w:hint="default"/>
      </w:rPr>
    </w:lvl>
    <w:lvl w:ilvl="4" w:tplc="C8F62D40" w:tentative="1">
      <w:start w:val="1"/>
      <w:numFmt w:val="bullet"/>
      <w:lvlText w:val="o"/>
      <w:lvlJc w:val="left"/>
      <w:pPr>
        <w:ind w:left="3600" w:hanging="360"/>
      </w:pPr>
      <w:rPr>
        <w:rFonts w:ascii="Courier New" w:hAnsi="Courier New" w:hint="default"/>
      </w:rPr>
    </w:lvl>
    <w:lvl w:ilvl="5" w:tplc="76C4CC24" w:tentative="1">
      <w:start w:val="1"/>
      <w:numFmt w:val="bullet"/>
      <w:lvlText w:val=""/>
      <w:lvlJc w:val="left"/>
      <w:pPr>
        <w:ind w:left="4320" w:hanging="360"/>
      </w:pPr>
      <w:rPr>
        <w:rFonts w:ascii="Wingdings" w:hAnsi="Wingdings" w:hint="default"/>
      </w:rPr>
    </w:lvl>
    <w:lvl w:ilvl="6" w:tplc="1C6A6E3E" w:tentative="1">
      <w:start w:val="1"/>
      <w:numFmt w:val="bullet"/>
      <w:lvlText w:val=""/>
      <w:lvlJc w:val="left"/>
      <w:pPr>
        <w:ind w:left="5040" w:hanging="360"/>
      </w:pPr>
      <w:rPr>
        <w:rFonts w:ascii="Symbol" w:hAnsi="Symbol" w:hint="default"/>
      </w:rPr>
    </w:lvl>
    <w:lvl w:ilvl="7" w:tplc="DE7CF35C" w:tentative="1">
      <w:start w:val="1"/>
      <w:numFmt w:val="bullet"/>
      <w:lvlText w:val="o"/>
      <w:lvlJc w:val="left"/>
      <w:pPr>
        <w:ind w:left="5760" w:hanging="360"/>
      </w:pPr>
      <w:rPr>
        <w:rFonts w:ascii="Courier New" w:hAnsi="Courier New" w:hint="default"/>
      </w:rPr>
    </w:lvl>
    <w:lvl w:ilvl="8" w:tplc="A0CEA1BC" w:tentative="1">
      <w:start w:val="1"/>
      <w:numFmt w:val="bullet"/>
      <w:lvlText w:val=""/>
      <w:lvlJc w:val="left"/>
      <w:pPr>
        <w:ind w:left="6480" w:hanging="360"/>
      </w:pPr>
      <w:rPr>
        <w:rFonts w:ascii="Wingdings" w:hAnsi="Wingdings" w:hint="default"/>
      </w:rPr>
    </w:lvl>
  </w:abstractNum>
  <w:abstractNum w:abstractNumId="23" w15:restartNumberingAfterBreak="0">
    <w:nsid w:val="68141E3A"/>
    <w:multiLevelType w:val="hybridMultilevel"/>
    <w:tmpl w:val="0402FA7C"/>
    <w:lvl w:ilvl="0" w:tplc="3D34724C">
      <w:start w:val="1"/>
      <w:numFmt w:val="bullet"/>
      <w:lvlText w:val=""/>
      <w:lvlJc w:val="left"/>
      <w:pPr>
        <w:ind w:left="720" w:hanging="360"/>
      </w:pPr>
      <w:rPr>
        <w:rFonts w:ascii="Symbol" w:hAnsi="Symbol" w:hint="default"/>
      </w:rPr>
    </w:lvl>
    <w:lvl w:ilvl="1" w:tplc="5D3AFDD6" w:tentative="1">
      <w:start w:val="1"/>
      <w:numFmt w:val="bullet"/>
      <w:lvlText w:val="o"/>
      <w:lvlJc w:val="left"/>
      <w:pPr>
        <w:ind w:left="1440" w:hanging="360"/>
      </w:pPr>
      <w:rPr>
        <w:rFonts w:ascii="Courier New" w:hAnsi="Courier New" w:cs="Courier New" w:hint="default"/>
      </w:rPr>
    </w:lvl>
    <w:lvl w:ilvl="2" w:tplc="A6B4D144" w:tentative="1">
      <w:start w:val="1"/>
      <w:numFmt w:val="bullet"/>
      <w:lvlText w:val=""/>
      <w:lvlJc w:val="left"/>
      <w:pPr>
        <w:ind w:left="2160" w:hanging="360"/>
      </w:pPr>
      <w:rPr>
        <w:rFonts w:ascii="Wingdings" w:hAnsi="Wingdings" w:hint="default"/>
      </w:rPr>
    </w:lvl>
    <w:lvl w:ilvl="3" w:tplc="B2C4BC42" w:tentative="1">
      <w:start w:val="1"/>
      <w:numFmt w:val="bullet"/>
      <w:lvlText w:val=""/>
      <w:lvlJc w:val="left"/>
      <w:pPr>
        <w:ind w:left="2880" w:hanging="360"/>
      </w:pPr>
      <w:rPr>
        <w:rFonts w:ascii="Symbol" w:hAnsi="Symbol" w:hint="default"/>
      </w:rPr>
    </w:lvl>
    <w:lvl w:ilvl="4" w:tplc="AF40B864" w:tentative="1">
      <w:start w:val="1"/>
      <w:numFmt w:val="bullet"/>
      <w:lvlText w:val="o"/>
      <w:lvlJc w:val="left"/>
      <w:pPr>
        <w:ind w:left="3600" w:hanging="360"/>
      </w:pPr>
      <w:rPr>
        <w:rFonts w:ascii="Courier New" w:hAnsi="Courier New" w:cs="Courier New" w:hint="default"/>
      </w:rPr>
    </w:lvl>
    <w:lvl w:ilvl="5" w:tplc="70DC098E" w:tentative="1">
      <w:start w:val="1"/>
      <w:numFmt w:val="bullet"/>
      <w:lvlText w:val=""/>
      <w:lvlJc w:val="left"/>
      <w:pPr>
        <w:ind w:left="4320" w:hanging="360"/>
      </w:pPr>
      <w:rPr>
        <w:rFonts w:ascii="Wingdings" w:hAnsi="Wingdings" w:hint="default"/>
      </w:rPr>
    </w:lvl>
    <w:lvl w:ilvl="6" w:tplc="D4A2DE04" w:tentative="1">
      <w:start w:val="1"/>
      <w:numFmt w:val="bullet"/>
      <w:lvlText w:val=""/>
      <w:lvlJc w:val="left"/>
      <w:pPr>
        <w:ind w:left="5040" w:hanging="360"/>
      </w:pPr>
      <w:rPr>
        <w:rFonts w:ascii="Symbol" w:hAnsi="Symbol" w:hint="default"/>
      </w:rPr>
    </w:lvl>
    <w:lvl w:ilvl="7" w:tplc="FE56D0DA" w:tentative="1">
      <w:start w:val="1"/>
      <w:numFmt w:val="bullet"/>
      <w:lvlText w:val="o"/>
      <w:lvlJc w:val="left"/>
      <w:pPr>
        <w:ind w:left="5760" w:hanging="360"/>
      </w:pPr>
      <w:rPr>
        <w:rFonts w:ascii="Courier New" w:hAnsi="Courier New" w:cs="Courier New" w:hint="default"/>
      </w:rPr>
    </w:lvl>
    <w:lvl w:ilvl="8" w:tplc="BADC30F8" w:tentative="1">
      <w:start w:val="1"/>
      <w:numFmt w:val="bullet"/>
      <w:lvlText w:val=""/>
      <w:lvlJc w:val="left"/>
      <w:pPr>
        <w:ind w:left="6480" w:hanging="360"/>
      </w:pPr>
      <w:rPr>
        <w:rFonts w:ascii="Wingdings" w:hAnsi="Wingdings" w:hint="default"/>
      </w:rPr>
    </w:lvl>
  </w:abstractNum>
  <w:abstractNum w:abstractNumId="24" w15:restartNumberingAfterBreak="0">
    <w:nsid w:val="68FF3CC4"/>
    <w:multiLevelType w:val="hybridMultilevel"/>
    <w:tmpl w:val="B0D0D240"/>
    <w:lvl w:ilvl="0" w:tplc="1F2EA5D2">
      <w:start w:val="1"/>
      <w:numFmt w:val="decimal"/>
      <w:lvlText w:val="%1."/>
      <w:lvlJc w:val="left"/>
      <w:pPr>
        <w:ind w:left="720" w:hanging="360"/>
      </w:pPr>
      <w:rPr>
        <w:rFonts w:cs="Times New Roman" w:hint="default"/>
      </w:rPr>
    </w:lvl>
    <w:lvl w:ilvl="1" w:tplc="1A8CC6E6" w:tentative="1">
      <w:start w:val="1"/>
      <w:numFmt w:val="lowerLetter"/>
      <w:lvlText w:val="%2."/>
      <w:lvlJc w:val="left"/>
      <w:pPr>
        <w:ind w:left="1440" w:hanging="360"/>
      </w:pPr>
      <w:rPr>
        <w:rFonts w:cs="Times New Roman"/>
      </w:rPr>
    </w:lvl>
    <w:lvl w:ilvl="2" w:tplc="0BFC15FE" w:tentative="1">
      <w:start w:val="1"/>
      <w:numFmt w:val="lowerRoman"/>
      <w:lvlText w:val="%3."/>
      <w:lvlJc w:val="right"/>
      <w:pPr>
        <w:ind w:left="2160" w:hanging="180"/>
      </w:pPr>
      <w:rPr>
        <w:rFonts w:cs="Times New Roman"/>
      </w:rPr>
    </w:lvl>
    <w:lvl w:ilvl="3" w:tplc="14CC292E" w:tentative="1">
      <w:start w:val="1"/>
      <w:numFmt w:val="decimal"/>
      <w:lvlText w:val="%4."/>
      <w:lvlJc w:val="left"/>
      <w:pPr>
        <w:ind w:left="2880" w:hanging="360"/>
      </w:pPr>
      <w:rPr>
        <w:rFonts w:cs="Times New Roman"/>
      </w:rPr>
    </w:lvl>
    <w:lvl w:ilvl="4" w:tplc="3B383C24" w:tentative="1">
      <w:start w:val="1"/>
      <w:numFmt w:val="lowerLetter"/>
      <w:lvlText w:val="%5."/>
      <w:lvlJc w:val="left"/>
      <w:pPr>
        <w:ind w:left="3600" w:hanging="360"/>
      </w:pPr>
      <w:rPr>
        <w:rFonts w:cs="Times New Roman"/>
      </w:rPr>
    </w:lvl>
    <w:lvl w:ilvl="5" w:tplc="8DD8116C" w:tentative="1">
      <w:start w:val="1"/>
      <w:numFmt w:val="lowerRoman"/>
      <w:lvlText w:val="%6."/>
      <w:lvlJc w:val="right"/>
      <w:pPr>
        <w:ind w:left="4320" w:hanging="180"/>
      </w:pPr>
      <w:rPr>
        <w:rFonts w:cs="Times New Roman"/>
      </w:rPr>
    </w:lvl>
    <w:lvl w:ilvl="6" w:tplc="AFEA5140" w:tentative="1">
      <w:start w:val="1"/>
      <w:numFmt w:val="decimal"/>
      <w:lvlText w:val="%7."/>
      <w:lvlJc w:val="left"/>
      <w:pPr>
        <w:ind w:left="5040" w:hanging="360"/>
      </w:pPr>
      <w:rPr>
        <w:rFonts w:cs="Times New Roman"/>
      </w:rPr>
    </w:lvl>
    <w:lvl w:ilvl="7" w:tplc="9F2E5408" w:tentative="1">
      <w:start w:val="1"/>
      <w:numFmt w:val="lowerLetter"/>
      <w:lvlText w:val="%8."/>
      <w:lvlJc w:val="left"/>
      <w:pPr>
        <w:ind w:left="5760" w:hanging="360"/>
      </w:pPr>
      <w:rPr>
        <w:rFonts w:cs="Times New Roman"/>
      </w:rPr>
    </w:lvl>
    <w:lvl w:ilvl="8" w:tplc="3A540402" w:tentative="1">
      <w:start w:val="1"/>
      <w:numFmt w:val="lowerRoman"/>
      <w:lvlText w:val="%9."/>
      <w:lvlJc w:val="right"/>
      <w:pPr>
        <w:ind w:left="6480" w:hanging="180"/>
      </w:pPr>
      <w:rPr>
        <w:rFonts w:cs="Times New Roman"/>
      </w:rPr>
    </w:lvl>
  </w:abstractNum>
  <w:abstractNum w:abstractNumId="25" w15:restartNumberingAfterBreak="0">
    <w:nsid w:val="69187EAD"/>
    <w:multiLevelType w:val="hybridMultilevel"/>
    <w:tmpl w:val="A2A05C94"/>
    <w:lvl w:ilvl="0" w:tplc="4CDE3BCE">
      <w:start w:val="1"/>
      <w:numFmt w:val="decimal"/>
      <w:lvlText w:val="%1."/>
      <w:lvlJc w:val="left"/>
      <w:pPr>
        <w:ind w:left="720" w:hanging="360"/>
      </w:pPr>
      <w:rPr>
        <w:rFonts w:cs="Times New Roman" w:hint="default"/>
      </w:rPr>
    </w:lvl>
    <w:lvl w:ilvl="1" w:tplc="AF18CB02" w:tentative="1">
      <w:start w:val="1"/>
      <w:numFmt w:val="lowerLetter"/>
      <w:lvlText w:val="%2."/>
      <w:lvlJc w:val="left"/>
      <w:pPr>
        <w:ind w:left="1440" w:hanging="360"/>
      </w:pPr>
      <w:rPr>
        <w:rFonts w:cs="Times New Roman"/>
      </w:rPr>
    </w:lvl>
    <w:lvl w:ilvl="2" w:tplc="96188986" w:tentative="1">
      <w:start w:val="1"/>
      <w:numFmt w:val="lowerRoman"/>
      <w:lvlText w:val="%3."/>
      <w:lvlJc w:val="right"/>
      <w:pPr>
        <w:ind w:left="2160" w:hanging="180"/>
      </w:pPr>
      <w:rPr>
        <w:rFonts w:cs="Times New Roman"/>
      </w:rPr>
    </w:lvl>
    <w:lvl w:ilvl="3" w:tplc="428C8048" w:tentative="1">
      <w:start w:val="1"/>
      <w:numFmt w:val="decimal"/>
      <w:lvlText w:val="%4."/>
      <w:lvlJc w:val="left"/>
      <w:pPr>
        <w:ind w:left="2880" w:hanging="360"/>
      </w:pPr>
      <w:rPr>
        <w:rFonts w:cs="Times New Roman"/>
      </w:rPr>
    </w:lvl>
    <w:lvl w:ilvl="4" w:tplc="C74AD4FA" w:tentative="1">
      <w:start w:val="1"/>
      <w:numFmt w:val="lowerLetter"/>
      <w:lvlText w:val="%5."/>
      <w:lvlJc w:val="left"/>
      <w:pPr>
        <w:ind w:left="3600" w:hanging="360"/>
      </w:pPr>
      <w:rPr>
        <w:rFonts w:cs="Times New Roman"/>
      </w:rPr>
    </w:lvl>
    <w:lvl w:ilvl="5" w:tplc="FCF846D8" w:tentative="1">
      <w:start w:val="1"/>
      <w:numFmt w:val="lowerRoman"/>
      <w:lvlText w:val="%6."/>
      <w:lvlJc w:val="right"/>
      <w:pPr>
        <w:ind w:left="4320" w:hanging="180"/>
      </w:pPr>
      <w:rPr>
        <w:rFonts w:cs="Times New Roman"/>
      </w:rPr>
    </w:lvl>
    <w:lvl w:ilvl="6" w:tplc="4E268F86" w:tentative="1">
      <w:start w:val="1"/>
      <w:numFmt w:val="decimal"/>
      <w:lvlText w:val="%7."/>
      <w:lvlJc w:val="left"/>
      <w:pPr>
        <w:ind w:left="5040" w:hanging="360"/>
      </w:pPr>
      <w:rPr>
        <w:rFonts w:cs="Times New Roman"/>
      </w:rPr>
    </w:lvl>
    <w:lvl w:ilvl="7" w:tplc="B0B479FA" w:tentative="1">
      <w:start w:val="1"/>
      <w:numFmt w:val="lowerLetter"/>
      <w:lvlText w:val="%8."/>
      <w:lvlJc w:val="left"/>
      <w:pPr>
        <w:ind w:left="5760" w:hanging="360"/>
      </w:pPr>
      <w:rPr>
        <w:rFonts w:cs="Times New Roman"/>
      </w:rPr>
    </w:lvl>
    <w:lvl w:ilvl="8" w:tplc="E9BC98BC" w:tentative="1">
      <w:start w:val="1"/>
      <w:numFmt w:val="lowerRoman"/>
      <w:lvlText w:val="%9."/>
      <w:lvlJc w:val="right"/>
      <w:pPr>
        <w:ind w:left="6480" w:hanging="180"/>
      </w:pPr>
      <w:rPr>
        <w:rFonts w:cs="Times New Roman"/>
      </w:rPr>
    </w:lvl>
  </w:abstractNum>
  <w:abstractNum w:abstractNumId="26" w15:restartNumberingAfterBreak="0">
    <w:nsid w:val="78AA753A"/>
    <w:multiLevelType w:val="hybridMultilevel"/>
    <w:tmpl w:val="5E323932"/>
    <w:lvl w:ilvl="0" w:tplc="C14C15C2">
      <w:numFmt w:val="bullet"/>
      <w:lvlText w:val="—"/>
      <w:lvlJc w:val="left"/>
      <w:pPr>
        <w:ind w:left="720" w:hanging="360"/>
      </w:pPr>
      <w:rPr>
        <w:rFonts w:ascii="Arial" w:eastAsia="Times New Roman" w:hAnsi="Arial" w:hint="default"/>
      </w:rPr>
    </w:lvl>
    <w:lvl w:ilvl="1" w:tplc="21A61E56" w:tentative="1">
      <w:start w:val="1"/>
      <w:numFmt w:val="bullet"/>
      <w:lvlText w:val="o"/>
      <w:lvlJc w:val="left"/>
      <w:pPr>
        <w:ind w:left="1440" w:hanging="360"/>
      </w:pPr>
      <w:rPr>
        <w:rFonts w:ascii="Courier New" w:hAnsi="Courier New" w:hint="default"/>
      </w:rPr>
    </w:lvl>
    <w:lvl w:ilvl="2" w:tplc="3AB0D6DC" w:tentative="1">
      <w:start w:val="1"/>
      <w:numFmt w:val="bullet"/>
      <w:lvlText w:val=""/>
      <w:lvlJc w:val="left"/>
      <w:pPr>
        <w:ind w:left="2160" w:hanging="360"/>
      </w:pPr>
      <w:rPr>
        <w:rFonts w:ascii="Wingdings" w:hAnsi="Wingdings" w:hint="default"/>
      </w:rPr>
    </w:lvl>
    <w:lvl w:ilvl="3" w:tplc="60F29AA8" w:tentative="1">
      <w:start w:val="1"/>
      <w:numFmt w:val="bullet"/>
      <w:lvlText w:val=""/>
      <w:lvlJc w:val="left"/>
      <w:pPr>
        <w:ind w:left="2880" w:hanging="360"/>
      </w:pPr>
      <w:rPr>
        <w:rFonts w:ascii="Symbol" w:hAnsi="Symbol" w:hint="default"/>
      </w:rPr>
    </w:lvl>
    <w:lvl w:ilvl="4" w:tplc="B7EC5BF4" w:tentative="1">
      <w:start w:val="1"/>
      <w:numFmt w:val="bullet"/>
      <w:lvlText w:val="o"/>
      <w:lvlJc w:val="left"/>
      <w:pPr>
        <w:ind w:left="3600" w:hanging="360"/>
      </w:pPr>
      <w:rPr>
        <w:rFonts w:ascii="Courier New" w:hAnsi="Courier New" w:hint="default"/>
      </w:rPr>
    </w:lvl>
    <w:lvl w:ilvl="5" w:tplc="1286E3CC" w:tentative="1">
      <w:start w:val="1"/>
      <w:numFmt w:val="bullet"/>
      <w:lvlText w:val=""/>
      <w:lvlJc w:val="left"/>
      <w:pPr>
        <w:ind w:left="4320" w:hanging="360"/>
      </w:pPr>
      <w:rPr>
        <w:rFonts w:ascii="Wingdings" w:hAnsi="Wingdings" w:hint="default"/>
      </w:rPr>
    </w:lvl>
    <w:lvl w:ilvl="6" w:tplc="84C02470" w:tentative="1">
      <w:start w:val="1"/>
      <w:numFmt w:val="bullet"/>
      <w:lvlText w:val=""/>
      <w:lvlJc w:val="left"/>
      <w:pPr>
        <w:ind w:left="5040" w:hanging="360"/>
      </w:pPr>
      <w:rPr>
        <w:rFonts w:ascii="Symbol" w:hAnsi="Symbol" w:hint="default"/>
      </w:rPr>
    </w:lvl>
    <w:lvl w:ilvl="7" w:tplc="5D4A507A" w:tentative="1">
      <w:start w:val="1"/>
      <w:numFmt w:val="bullet"/>
      <w:lvlText w:val="o"/>
      <w:lvlJc w:val="left"/>
      <w:pPr>
        <w:ind w:left="5760" w:hanging="360"/>
      </w:pPr>
      <w:rPr>
        <w:rFonts w:ascii="Courier New" w:hAnsi="Courier New" w:hint="default"/>
      </w:rPr>
    </w:lvl>
    <w:lvl w:ilvl="8" w:tplc="A7CA6130" w:tentative="1">
      <w:start w:val="1"/>
      <w:numFmt w:val="bullet"/>
      <w:lvlText w:val=""/>
      <w:lvlJc w:val="left"/>
      <w:pPr>
        <w:ind w:left="6480" w:hanging="360"/>
      </w:pPr>
      <w:rPr>
        <w:rFonts w:ascii="Wingdings" w:hAnsi="Wingdings" w:hint="default"/>
      </w:rPr>
    </w:lvl>
  </w:abstractNum>
  <w:abstractNum w:abstractNumId="27" w15:restartNumberingAfterBreak="0">
    <w:nsid w:val="7D43574A"/>
    <w:multiLevelType w:val="hybridMultilevel"/>
    <w:tmpl w:val="EC3C6AD8"/>
    <w:lvl w:ilvl="0" w:tplc="C232AAD4">
      <w:numFmt w:val="bullet"/>
      <w:lvlText w:val="-"/>
      <w:lvlJc w:val="left"/>
      <w:pPr>
        <w:tabs>
          <w:tab w:val="num" w:pos="720"/>
        </w:tabs>
        <w:ind w:left="720" w:hanging="360"/>
      </w:pPr>
      <w:rPr>
        <w:rFonts w:ascii="Arial" w:eastAsia="Times New Roman" w:hAnsi="Arial" w:hint="default"/>
      </w:rPr>
    </w:lvl>
    <w:lvl w:ilvl="1" w:tplc="0DC6BA08" w:tentative="1">
      <w:start w:val="1"/>
      <w:numFmt w:val="bullet"/>
      <w:lvlText w:val="o"/>
      <w:lvlJc w:val="left"/>
      <w:pPr>
        <w:tabs>
          <w:tab w:val="num" w:pos="1440"/>
        </w:tabs>
        <w:ind w:left="1440" w:hanging="360"/>
      </w:pPr>
      <w:rPr>
        <w:rFonts w:ascii="Courier New" w:hAnsi="Courier New" w:hint="default"/>
      </w:rPr>
    </w:lvl>
    <w:lvl w:ilvl="2" w:tplc="33C42C8A" w:tentative="1">
      <w:start w:val="1"/>
      <w:numFmt w:val="bullet"/>
      <w:lvlText w:val=""/>
      <w:lvlJc w:val="left"/>
      <w:pPr>
        <w:tabs>
          <w:tab w:val="num" w:pos="2160"/>
        </w:tabs>
        <w:ind w:left="2160" w:hanging="360"/>
      </w:pPr>
      <w:rPr>
        <w:rFonts w:ascii="Wingdings" w:hAnsi="Wingdings" w:hint="default"/>
      </w:rPr>
    </w:lvl>
    <w:lvl w:ilvl="3" w:tplc="11762616" w:tentative="1">
      <w:start w:val="1"/>
      <w:numFmt w:val="bullet"/>
      <w:lvlText w:val=""/>
      <w:lvlJc w:val="left"/>
      <w:pPr>
        <w:tabs>
          <w:tab w:val="num" w:pos="2880"/>
        </w:tabs>
        <w:ind w:left="2880" w:hanging="360"/>
      </w:pPr>
      <w:rPr>
        <w:rFonts w:ascii="Symbol" w:hAnsi="Symbol" w:hint="default"/>
      </w:rPr>
    </w:lvl>
    <w:lvl w:ilvl="4" w:tplc="5CA81D2C" w:tentative="1">
      <w:start w:val="1"/>
      <w:numFmt w:val="bullet"/>
      <w:lvlText w:val="o"/>
      <w:lvlJc w:val="left"/>
      <w:pPr>
        <w:tabs>
          <w:tab w:val="num" w:pos="3600"/>
        </w:tabs>
        <w:ind w:left="3600" w:hanging="360"/>
      </w:pPr>
      <w:rPr>
        <w:rFonts w:ascii="Courier New" w:hAnsi="Courier New" w:hint="default"/>
      </w:rPr>
    </w:lvl>
    <w:lvl w:ilvl="5" w:tplc="8D4E833C" w:tentative="1">
      <w:start w:val="1"/>
      <w:numFmt w:val="bullet"/>
      <w:lvlText w:val=""/>
      <w:lvlJc w:val="left"/>
      <w:pPr>
        <w:tabs>
          <w:tab w:val="num" w:pos="4320"/>
        </w:tabs>
        <w:ind w:left="4320" w:hanging="360"/>
      </w:pPr>
      <w:rPr>
        <w:rFonts w:ascii="Wingdings" w:hAnsi="Wingdings" w:hint="default"/>
      </w:rPr>
    </w:lvl>
    <w:lvl w:ilvl="6" w:tplc="14929218" w:tentative="1">
      <w:start w:val="1"/>
      <w:numFmt w:val="bullet"/>
      <w:lvlText w:val=""/>
      <w:lvlJc w:val="left"/>
      <w:pPr>
        <w:tabs>
          <w:tab w:val="num" w:pos="5040"/>
        </w:tabs>
        <w:ind w:left="5040" w:hanging="360"/>
      </w:pPr>
      <w:rPr>
        <w:rFonts w:ascii="Symbol" w:hAnsi="Symbol" w:hint="default"/>
      </w:rPr>
    </w:lvl>
    <w:lvl w:ilvl="7" w:tplc="24D43F36" w:tentative="1">
      <w:start w:val="1"/>
      <w:numFmt w:val="bullet"/>
      <w:lvlText w:val="o"/>
      <w:lvlJc w:val="left"/>
      <w:pPr>
        <w:tabs>
          <w:tab w:val="num" w:pos="5760"/>
        </w:tabs>
        <w:ind w:left="5760" w:hanging="360"/>
      </w:pPr>
      <w:rPr>
        <w:rFonts w:ascii="Courier New" w:hAnsi="Courier New" w:hint="default"/>
      </w:rPr>
    </w:lvl>
    <w:lvl w:ilvl="8" w:tplc="6FD00862"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7"/>
  </w:num>
  <w:num w:numId="3">
    <w:abstractNumId w:val="18"/>
  </w:num>
  <w:num w:numId="4">
    <w:abstractNumId w:val="16"/>
  </w:num>
  <w:num w:numId="5">
    <w:abstractNumId w:val="25"/>
  </w:num>
  <w:num w:numId="6">
    <w:abstractNumId w:val="24"/>
  </w:num>
  <w:num w:numId="7">
    <w:abstractNumId w:val="14"/>
  </w:num>
  <w:num w:numId="8">
    <w:abstractNumId w:val="15"/>
  </w:num>
  <w:num w:numId="9">
    <w:abstractNumId w:val="0"/>
  </w:num>
  <w:num w:numId="10">
    <w:abstractNumId w:val="6"/>
  </w:num>
  <w:num w:numId="11">
    <w:abstractNumId w:val="10"/>
  </w:num>
  <w:num w:numId="12">
    <w:abstractNumId w:val="26"/>
  </w:num>
  <w:num w:numId="13">
    <w:abstractNumId w:val="2"/>
  </w:num>
  <w:num w:numId="14">
    <w:abstractNumId w:val="22"/>
  </w:num>
  <w:num w:numId="15">
    <w:abstractNumId w:val="7"/>
  </w:num>
  <w:num w:numId="16">
    <w:abstractNumId w:val="1"/>
  </w:num>
  <w:num w:numId="17">
    <w:abstractNumId w:val="12"/>
  </w:num>
  <w:num w:numId="18">
    <w:abstractNumId w:val="4"/>
  </w:num>
  <w:num w:numId="19">
    <w:abstractNumId w:val="21"/>
  </w:num>
  <w:num w:numId="20">
    <w:abstractNumId w:val="11"/>
  </w:num>
  <w:num w:numId="21">
    <w:abstractNumId w:val="20"/>
  </w:num>
  <w:num w:numId="22">
    <w:abstractNumId w:val="5"/>
  </w:num>
  <w:num w:numId="23">
    <w:abstractNumId w:val="8"/>
  </w:num>
  <w:num w:numId="24">
    <w:abstractNumId w:val="3"/>
  </w:num>
  <w:num w:numId="25">
    <w:abstractNumId w:val="17"/>
  </w:num>
  <w:num w:numId="26">
    <w:abstractNumId w:val="9"/>
  </w:num>
  <w:num w:numId="27">
    <w:abstractNumId w:val="13"/>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C08"/>
    <w:rsid w:val="00024DFA"/>
    <w:rsid w:val="00207C08"/>
    <w:rsid w:val="00247061"/>
    <w:rsid w:val="002956E1"/>
    <w:rsid w:val="0032146F"/>
    <w:rsid w:val="003C7949"/>
    <w:rsid w:val="005C5D22"/>
    <w:rsid w:val="006A2F45"/>
    <w:rsid w:val="007C09ED"/>
    <w:rsid w:val="007F057A"/>
    <w:rsid w:val="008150F6"/>
    <w:rsid w:val="008F6F02"/>
    <w:rsid w:val="00925760"/>
    <w:rsid w:val="009A7BC3"/>
    <w:rsid w:val="009B446A"/>
    <w:rsid w:val="009E08CE"/>
    <w:rsid w:val="00A51DD8"/>
    <w:rsid w:val="00BA72C8"/>
    <w:rsid w:val="00CE562C"/>
    <w:rsid w:val="00E241E0"/>
    <w:rsid w:val="00E97234"/>
    <w:rsid w:val="00ED1B9D"/>
    <w:rsid w:val="00F91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7F00A"/>
  <w15:docId w15:val="{3EB8D9FB-366C-4067-B261-E2D92F61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18C"/>
    <w:rPr>
      <w:rFonts w:ascii="Arial" w:hAnsi="Arial"/>
      <w:sz w:val="24"/>
    </w:rPr>
  </w:style>
  <w:style w:type="paragraph" w:styleId="Heading1">
    <w:name w:val="heading 1"/>
    <w:basedOn w:val="Normal"/>
    <w:next w:val="Normal"/>
    <w:link w:val="Heading1Char"/>
    <w:uiPriority w:val="9"/>
    <w:qFormat/>
    <w:rsid w:val="004B418C"/>
    <w:pPr>
      <w:keepNext/>
      <w:outlineLvl w:val="0"/>
    </w:pPr>
    <w:rPr>
      <w:b/>
    </w:rPr>
  </w:style>
  <w:style w:type="paragraph" w:styleId="Heading3">
    <w:name w:val="heading 3"/>
    <w:basedOn w:val="Normal"/>
    <w:next w:val="Normal"/>
    <w:link w:val="Heading3Char"/>
    <w:uiPriority w:val="9"/>
    <w:semiHidden/>
    <w:unhideWhenUsed/>
    <w:qFormat/>
    <w:rsid w:val="00735017"/>
    <w:pPr>
      <w:keepNext/>
      <w:keepLines/>
      <w:spacing w:before="200"/>
      <w:outlineLvl w:val="2"/>
    </w:pPr>
    <w:rPr>
      <w:rFonts w:asciiTheme="majorHAnsi" w:eastAsiaTheme="majorEastAsia" w:hAnsiTheme="majorHAnsi"/>
      <w:b/>
      <w:bCs/>
      <w:color w:val="4F81BD" w:themeColor="accent1"/>
    </w:rPr>
  </w:style>
  <w:style w:type="paragraph" w:styleId="Heading5">
    <w:name w:val="heading 5"/>
    <w:basedOn w:val="Normal"/>
    <w:next w:val="Normal"/>
    <w:link w:val="Heading5Char"/>
    <w:uiPriority w:val="9"/>
    <w:qFormat/>
    <w:rsid w:val="004B418C"/>
    <w:pPr>
      <w:keepNext/>
      <w:outlineLvl w:val="4"/>
    </w:pPr>
    <w:rPr>
      <w:rFonts w:ascii="Univers" w:hAnsi="Univers"/>
      <w:b/>
      <w:u w:val="single"/>
    </w:rPr>
  </w:style>
  <w:style w:type="paragraph" w:styleId="Heading6">
    <w:name w:val="heading 6"/>
    <w:basedOn w:val="Normal"/>
    <w:next w:val="Normal"/>
    <w:link w:val="Heading6Char"/>
    <w:uiPriority w:val="9"/>
    <w:qFormat/>
    <w:rsid w:val="004B418C"/>
    <w:pPr>
      <w:keepNext/>
      <w:outlineLvl w:val="5"/>
    </w:pPr>
    <w:rPr>
      <w:rFonts w:ascii="Univers" w:hAnsi="Univers"/>
      <w:b/>
    </w:rPr>
  </w:style>
  <w:style w:type="paragraph" w:styleId="Heading7">
    <w:name w:val="heading 7"/>
    <w:basedOn w:val="Normal"/>
    <w:next w:val="Normal"/>
    <w:link w:val="Heading7Char"/>
    <w:uiPriority w:val="9"/>
    <w:qFormat/>
    <w:rsid w:val="004B418C"/>
    <w:pPr>
      <w:keepNext/>
      <w:outlineLvl w:val="6"/>
    </w:pPr>
    <w:rPr>
      <w:rFonts w:ascii="Univers" w:hAnsi="Univers"/>
      <w:u w:val="single"/>
    </w:rPr>
  </w:style>
  <w:style w:type="paragraph" w:styleId="Heading8">
    <w:name w:val="heading 8"/>
    <w:basedOn w:val="Normal"/>
    <w:next w:val="Normal"/>
    <w:link w:val="Heading8Char"/>
    <w:uiPriority w:val="9"/>
    <w:semiHidden/>
    <w:unhideWhenUsed/>
    <w:qFormat/>
    <w:rsid w:val="00E362C7"/>
    <w:pPr>
      <w:keepNext/>
      <w:keepLines/>
      <w:spacing w:before="200"/>
      <w:outlineLvl w:val="7"/>
    </w:pPr>
    <w:rPr>
      <w:rFonts w:asciiTheme="majorHAnsi" w:eastAsiaTheme="majorEastAsia" w:hAnsiTheme="majorHAns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3Char">
    <w:name w:val="Heading 3 Char"/>
    <w:basedOn w:val="DefaultParagraphFont"/>
    <w:link w:val="Heading3"/>
    <w:uiPriority w:val="9"/>
    <w:semiHidden/>
    <w:locked/>
    <w:rsid w:val="00735017"/>
    <w:rPr>
      <w:rFonts w:asciiTheme="majorHAnsi" w:eastAsiaTheme="majorEastAsia" w:hAnsiTheme="majorHAnsi" w:cs="Times New Roman"/>
      <w:b/>
      <w:bCs/>
      <w:color w:val="4F81BD" w:themeColor="accent1"/>
      <w:sz w:val="24"/>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sid w:val="00E362C7"/>
    <w:rPr>
      <w:rFonts w:asciiTheme="majorHAnsi" w:eastAsiaTheme="majorEastAsia" w:hAnsiTheme="majorHAnsi" w:cs="Times New Roman"/>
      <w:color w:val="404040" w:themeColor="text1" w:themeTint="BF"/>
    </w:rPr>
  </w:style>
  <w:style w:type="paragraph" w:styleId="Header">
    <w:name w:val="header"/>
    <w:basedOn w:val="Normal"/>
    <w:link w:val="HeaderChar"/>
    <w:uiPriority w:val="99"/>
    <w:rsid w:val="004B418C"/>
  </w:style>
  <w:style w:type="character" w:customStyle="1" w:styleId="HeaderChar">
    <w:name w:val="Header Char"/>
    <w:basedOn w:val="DefaultParagraphFont"/>
    <w:link w:val="Header"/>
    <w:uiPriority w:val="99"/>
    <w:semiHidden/>
    <w:locked/>
    <w:rPr>
      <w:rFonts w:ascii="Arial" w:hAnsi="Arial" w:cs="Times New Roman"/>
      <w:sz w:val="24"/>
    </w:rPr>
  </w:style>
  <w:style w:type="paragraph" w:customStyle="1" w:styleId="arial11">
    <w:name w:val="arial11"/>
    <w:basedOn w:val="Normal"/>
    <w:rsid w:val="004B418C"/>
  </w:style>
  <w:style w:type="paragraph" w:styleId="BodyText">
    <w:name w:val="Body Text"/>
    <w:basedOn w:val="Normal"/>
    <w:link w:val="BodyTextChar"/>
    <w:uiPriority w:val="99"/>
    <w:rsid w:val="004B418C"/>
  </w:style>
  <w:style w:type="character" w:customStyle="1" w:styleId="BodyTextChar">
    <w:name w:val="Body Text Char"/>
    <w:basedOn w:val="DefaultParagraphFont"/>
    <w:link w:val="BodyText"/>
    <w:uiPriority w:val="99"/>
    <w:semiHidden/>
    <w:locked/>
    <w:rPr>
      <w:rFonts w:ascii="Arial" w:hAnsi="Arial" w:cs="Times New Roman"/>
      <w:sz w:val="24"/>
    </w:rPr>
  </w:style>
  <w:style w:type="paragraph" w:styleId="Footer">
    <w:name w:val="footer"/>
    <w:basedOn w:val="Normal"/>
    <w:link w:val="FooterChar"/>
    <w:uiPriority w:val="99"/>
    <w:rsid w:val="004B418C"/>
    <w:pPr>
      <w:tabs>
        <w:tab w:val="center" w:pos="4153"/>
        <w:tab w:val="right" w:pos="8306"/>
      </w:tabs>
    </w:pPr>
  </w:style>
  <w:style w:type="character" w:customStyle="1" w:styleId="FooterChar">
    <w:name w:val="Footer Char"/>
    <w:basedOn w:val="DefaultParagraphFont"/>
    <w:link w:val="Footer"/>
    <w:uiPriority w:val="99"/>
    <w:locked/>
    <w:rsid w:val="00E362C7"/>
    <w:rPr>
      <w:rFonts w:ascii="Arial" w:hAnsi="Arial" w:cs="Times New Roman"/>
      <w:sz w:val="24"/>
    </w:rPr>
  </w:style>
  <w:style w:type="character" w:styleId="PageNumber">
    <w:name w:val="page number"/>
    <w:basedOn w:val="DefaultParagraphFont"/>
    <w:uiPriority w:val="99"/>
    <w:rsid w:val="004B418C"/>
    <w:rPr>
      <w:rFonts w:cs="Times New Roman"/>
    </w:rPr>
  </w:style>
  <w:style w:type="paragraph" w:styleId="BalloonText">
    <w:name w:val="Balloon Text"/>
    <w:basedOn w:val="Normal"/>
    <w:link w:val="BalloonTextChar"/>
    <w:uiPriority w:val="99"/>
    <w:semiHidden/>
    <w:rsid w:val="0035795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ListParagraph">
    <w:name w:val="List Paragraph"/>
    <w:basedOn w:val="Normal"/>
    <w:uiPriority w:val="34"/>
    <w:qFormat/>
    <w:rsid w:val="006A2DEC"/>
    <w:pPr>
      <w:ind w:left="720"/>
      <w:contextualSpacing/>
    </w:pPr>
  </w:style>
  <w:style w:type="character" w:styleId="Strong">
    <w:name w:val="Strong"/>
    <w:basedOn w:val="DefaultParagraphFont"/>
    <w:uiPriority w:val="22"/>
    <w:qFormat/>
    <w:rsid w:val="00827743"/>
    <w:rPr>
      <w:rFonts w:cs="Times New Roman"/>
      <w:b/>
      <w:bCs/>
    </w:rPr>
  </w:style>
  <w:style w:type="paragraph" w:customStyle="1" w:styleId="00-Normal-BB">
    <w:name w:val="00-Normal-BB"/>
    <w:rsid w:val="00827743"/>
    <w:pPr>
      <w:jc w:val="both"/>
    </w:pPr>
    <w:rPr>
      <w:rFonts w:ascii="Arial" w:hAnsi="Arial"/>
      <w:sz w:val="22"/>
      <w:lang w:eastAsia="en-US"/>
    </w:rPr>
  </w:style>
  <w:style w:type="paragraph" w:customStyle="1" w:styleId="01-NormInd1-BB">
    <w:name w:val="01-NormInd1-BB"/>
    <w:basedOn w:val="00-Normal-BB"/>
    <w:rsid w:val="00827743"/>
    <w:pPr>
      <w:ind w:left="720"/>
    </w:pPr>
  </w:style>
  <w:style w:type="character" w:styleId="CommentReference">
    <w:name w:val="annotation reference"/>
    <w:basedOn w:val="DefaultParagraphFont"/>
    <w:uiPriority w:val="99"/>
    <w:semiHidden/>
    <w:unhideWhenUsed/>
    <w:rsid w:val="00FB3510"/>
    <w:rPr>
      <w:rFonts w:cs="Times New Roman"/>
      <w:sz w:val="16"/>
      <w:szCs w:val="16"/>
    </w:rPr>
  </w:style>
  <w:style w:type="paragraph" w:styleId="CommentText">
    <w:name w:val="annotation text"/>
    <w:basedOn w:val="Normal"/>
    <w:link w:val="CommentTextChar"/>
    <w:uiPriority w:val="99"/>
    <w:semiHidden/>
    <w:unhideWhenUsed/>
    <w:rsid w:val="00FB3510"/>
    <w:rPr>
      <w:sz w:val="20"/>
    </w:rPr>
  </w:style>
  <w:style w:type="character" w:customStyle="1" w:styleId="CommentTextChar">
    <w:name w:val="Comment Text Char"/>
    <w:basedOn w:val="DefaultParagraphFont"/>
    <w:link w:val="CommentText"/>
    <w:uiPriority w:val="99"/>
    <w:semiHidden/>
    <w:locked/>
    <w:rsid w:val="00FB3510"/>
    <w:rPr>
      <w:rFonts w:ascii="Arial" w:hAnsi="Arial" w:cs="Times New Roman"/>
    </w:rPr>
  </w:style>
  <w:style w:type="paragraph" w:styleId="CommentSubject">
    <w:name w:val="annotation subject"/>
    <w:basedOn w:val="CommentText"/>
    <w:next w:val="CommentText"/>
    <w:link w:val="CommentSubjectChar"/>
    <w:uiPriority w:val="99"/>
    <w:semiHidden/>
    <w:unhideWhenUsed/>
    <w:rsid w:val="00FB3510"/>
    <w:rPr>
      <w:b/>
      <w:bCs/>
    </w:rPr>
  </w:style>
  <w:style w:type="character" w:customStyle="1" w:styleId="CommentSubjectChar">
    <w:name w:val="Comment Subject Char"/>
    <w:basedOn w:val="CommentTextChar"/>
    <w:link w:val="CommentSubject"/>
    <w:uiPriority w:val="99"/>
    <w:semiHidden/>
    <w:locked/>
    <w:rsid w:val="00FB3510"/>
    <w:rPr>
      <w:rFonts w:ascii="Arial" w:hAnsi="Arial" w:cs="Times New Roman"/>
      <w:b/>
      <w:bCs/>
    </w:rPr>
  </w:style>
  <w:style w:type="table" w:styleId="TableGrid">
    <w:name w:val="Table Grid"/>
    <w:basedOn w:val="TableNormal"/>
    <w:uiPriority w:val="59"/>
    <w:rsid w:val="00F13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15C08"/>
    <w:pPr>
      <w:widowControl w:val="0"/>
      <w:suppressAutoHyphens/>
    </w:pPr>
    <w:rPr>
      <w:rFonts w:ascii="Times New Roman" w:hAnsi="Times New Roman"/>
      <w:kern w:val="1"/>
      <w:sz w:val="20"/>
    </w:rPr>
  </w:style>
  <w:style w:type="character" w:customStyle="1" w:styleId="FootnoteTextChar">
    <w:name w:val="Footnote Text Char"/>
    <w:basedOn w:val="DefaultParagraphFont"/>
    <w:link w:val="FootnoteText"/>
    <w:uiPriority w:val="99"/>
    <w:semiHidden/>
    <w:locked/>
    <w:rsid w:val="00815C08"/>
    <w:rPr>
      <w:rFonts w:eastAsia="Times New Roman" w:cs="Times New Roman"/>
      <w:kern w:val="1"/>
    </w:rPr>
  </w:style>
  <w:style w:type="character" w:styleId="FootnoteReference">
    <w:name w:val="footnote reference"/>
    <w:basedOn w:val="DefaultParagraphFont"/>
    <w:uiPriority w:val="99"/>
    <w:semiHidden/>
    <w:rsid w:val="00815C08"/>
    <w:rPr>
      <w:rFonts w:cs="Times New Roman"/>
      <w:vertAlign w:val="superscript"/>
    </w:rPr>
  </w:style>
  <w:style w:type="character" w:styleId="Hyperlink">
    <w:name w:val="Hyperlink"/>
    <w:basedOn w:val="DefaultParagraphFont"/>
    <w:uiPriority w:val="99"/>
    <w:rsid w:val="00815C08"/>
    <w:rPr>
      <w:rFonts w:cs="Times New Roman"/>
      <w:color w:val="0000FF"/>
      <w:u w:val="single"/>
    </w:rPr>
  </w:style>
  <w:style w:type="paragraph" w:styleId="Revision">
    <w:name w:val="Revision"/>
    <w:hidden/>
    <w:uiPriority w:val="99"/>
    <w:semiHidden/>
    <w:rsid w:val="0045359E"/>
    <w:rPr>
      <w:rFonts w:ascii="Arial" w:hAnsi="Arial"/>
      <w:sz w:val="24"/>
    </w:rPr>
  </w:style>
  <w:style w:type="table" w:customStyle="1" w:styleId="TableGrid1">
    <w:name w:val="Table Grid1"/>
    <w:basedOn w:val="TableNormal"/>
    <w:next w:val="TableGrid"/>
    <w:uiPriority w:val="59"/>
    <w:rsid w:val="002B6620"/>
    <w:rPr>
      <w:rFonts w:ascii="Arial"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43F2"/>
    <w:pP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orpData02\Res\County%20Treasurer\Treasury\Budgets%20&amp;%20Actuals\2017-18\Year%20End%20Closure\A&amp;G%20Report%20&amp;%20WPs\Debt%20WP%2017-18%20for%20tab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en-GB" sz="1200" b="1" i="0" u="none" strike="noStrike" baseline="0">
                <a:solidFill>
                  <a:srgbClr val="000000"/>
                </a:solidFill>
                <a:latin typeface="Calibri"/>
              </a:rPr>
              <a:t>Borrowing Maturity as at 31 March 2018</a:t>
            </a:r>
          </a:p>
        </c:rich>
      </c:tx>
      <c:layout/>
      <c:overlay val="0"/>
    </c:title>
    <c:autoTitleDeleted val="0"/>
    <c:plotArea>
      <c:layout/>
      <c:barChart>
        <c:barDir val="col"/>
        <c:grouping val="clustered"/>
        <c:varyColors val="0"/>
        <c:ser>
          <c:idx val="0"/>
          <c:order val="0"/>
          <c:invertIfNegative val="0"/>
          <c:cat>
            <c:strRef>
              <c:f>'SOA Debt Maturity &amp; Type'!$D$7:$D$13</c:f>
              <c:strCache>
                <c:ptCount val="7"/>
                <c:pt idx="0">
                  <c:v>&lt; 12 mths</c:v>
                </c:pt>
                <c:pt idx="1">
                  <c:v>12 mths - 2yrs</c:v>
                </c:pt>
                <c:pt idx="2">
                  <c:v>2yrs - 5yrs</c:v>
                </c:pt>
                <c:pt idx="3">
                  <c:v>5yrs - 10yrs</c:v>
                </c:pt>
                <c:pt idx="4">
                  <c:v>10yrs - 15yrs</c:v>
                </c:pt>
                <c:pt idx="5">
                  <c:v>15yrs &gt;</c:v>
                </c:pt>
                <c:pt idx="6">
                  <c:v>Uncertain</c:v>
                </c:pt>
              </c:strCache>
            </c:strRef>
          </c:cat>
          <c:val>
            <c:numRef>
              <c:f>'SOA Debt Maturity &amp; Type'!$E$7:$E$13</c:f>
              <c:numCache>
                <c:formatCode>_-* #,##0_-;\-* #,##0_-;_-* "-"??_-;_-@_-</c:formatCode>
                <c:ptCount val="7"/>
                <c:pt idx="0">
                  <c:v>495570639.40999997</c:v>
                </c:pt>
                <c:pt idx="1">
                  <c:v>45500000</c:v>
                </c:pt>
                <c:pt idx="2">
                  <c:v>174249999.99999997</c:v>
                </c:pt>
                <c:pt idx="3">
                  <c:v>48400000</c:v>
                </c:pt>
                <c:pt idx="4">
                  <c:v>56200000</c:v>
                </c:pt>
                <c:pt idx="5">
                  <c:v>80000000</c:v>
                </c:pt>
                <c:pt idx="6">
                  <c:v>50000000.00000003</c:v>
                </c:pt>
              </c:numCache>
            </c:numRef>
          </c:val>
        </c:ser>
        <c:dLbls>
          <c:showLegendKey val="0"/>
          <c:showVal val="0"/>
          <c:showCatName val="0"/>
          <c:showSerName val="0"/>
          <c:showPercent val="0"/>
          <c:showBubbleSize val="0"/>
        </c:dLbls>
        <c:gapWidth val="150"/>
        <c:axId val="493626992"/>
        <c:axId val="457907496"/>
      </c:barChart>
      <c:catAx>
        <c:axId val="493626992"/>
        <c:scaling>
          <c:orientation val="minMax"/>
        </c:scaling>
        <c:delete val="0"/>
        <c:axPos val="b"/>
        <c:numFmt formatCode="General" sourceLinked="1"/>
        <c:majorTickMark val="out"/>
        <c:minorTickMark val="none"/>
        <c:tickLblPos val="nextTo"/>
        <c:txPr>
          <a:bodyPr rot="2700000" vert="horz"/>
          <a:lstStyle/>
          <a:p>
            <a:pPr>
              <a:defRPr sz="1000" b="0" i="0" u="none" strike="noStrike" baseline="0">
                <a:solidFill>
                  <a:srgbClr val="000000"/>
                </a:solidFill>
                <a:latin typeface="Calibri"/>
                <a:ea typeface="Calibri"/>
                <a:cs typeface="Calibri"/>
              </a:defRPr>
            </a:pPr>
            <a:endParaRPr lang="en-US"/>
          </a:p>
        </c:txPr>
        <c:crossAx val="457907496"/>
        <c:crosses val="autoZero"/>
        <c:auto val="1"/>
        <c:lblAlgn val="ctr"/>
        <c:lblOffset val="100"/>
        <c:noMultiLvlLbl val="0"/>
      </c:catAx>
      <c:valAx>
        <c:axId val="457907496"/>
        <c:scaling>
          <c:orientation val="minMax"/>
        </c:scaling>
        <c:delete val="0"/>
        <c:axPos val="l"/>
        <c:majorGridlines/>
        <c:numFmt formatCode="_-* #,##0_-;\-* #,##0_-;_-* &quot;-&quot;??_-;_-@_-"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493626992"/>
        <c:crosses val="autoZero"/>
        <c:crossBetween val="between"/>
        <c:dispUnits>
          <c:builtInUnit val="millions"/>
          <c:dispUnitsLbl>
            <c:layout>
              <c:manualLayout>
                <c:xMode val="edge"/>
                <c:yMode val="edge"/>
                <c:x val="2.6586905948820207E-2"/>
                <c:y val="0.35854833796420232"/>
              </c:manualLayout>
            </c:layout>
            <c:txPr>
              <a:bodyPr rot="-5400000" vert="horz"/>
              <a:lstStyle/>
              <a:p>
                <a:pPr algn="ctr">
                  <a:defRPr sz="1000" b="1" i="0" u="none" strike="noStrike" baseline="0">
                    <a:solidFill>
                      <a:srgbClr val="000000"/>
                    </a:solidFill>
                    <a:latin typeface="Calibri"/>
                    <a:ea typeface="Calibri"/>
                    <a:cs typeface="Calibri"/>
                  </a:defRPr>
                </a:pPr>
                <a:endParaRPr lang="en-US"/>
              </a:p>
            </c:txPr>
          </c:dispUnitsLbl>
        </c:dispUnits>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49D34-A9AC-438E-A07C-9384E8189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Control).dot</Template>
  <TotalTime>2151</TotalTime>
  <Pages>8</Pages>
  <Words>2820</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One Connect Limited</Company>
  <LinksUpToDate>false</LinksUpToDate>
  <CharactersWithSpaces>17913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creator>rdmcm</dc:creator>
  <dc:description>August 2009</dc:description>
  <cp:lastModifiedBy>Gorman, Dave</cp:lastModifiedBy>
  <cp:revision>73</cp:revision>
  <cp:lastPrinted>2018-07-17T14:27:00Z</cp:lastPrinted>
  <dcterms:created xsi:type="dcterms:W3CDTF">2018-02-22T08:53:00Z</dcterms:created>
  <dcterms:modified xsi:type="dcterms:W3CDTF">2018-07-18T09:22:00Z</dcterms:modified>
</cp:coreProperties>
</file>